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media/image5.wmf" ContentType="image/x-wmf"/>
  <Override PartName="/word/media/image6.wmf" ContentType="image/x-wmf"/>
  <Override PartName="/word/media/image7.wmf" ContentType="image/x-wmf"/>
  <Override PartName="/word/media/image8.wmf" ContentType="image/x-wmf"/>
  <Override PartName="/word/media/image9.wmf" ContentType="image/x-wmf"/>
  <Override PartName="/word/media/image10.wmf" ContentType="image/x-wmf"/>
  <Override PartName="/word/media/image11.wmf" ContentType="image/x-wmf"/>
  <Override PartName="/word/media/image12.wmf" ContentType="image/x-wmf"/>
  <Override PartName="/word/media/image13.wmf" ContentType="image/x-wmf"/>
  <Override PartName="/word/media/image14.wmf" ContentType="image/x-wmf"/>
  <Override PartName="/word/media/image15.wmf" ContentType="image/x-wmf"/>
  <Override PartName="/word/media/image16.wmf" ContentType="image/x-wmf"/>
  <Override PartName="/word/media/image17.wmf" ContentType="image/x-wmf"/>
  <Override PartName="/word/media/image18.wmf" ContentType="image/x-wmf"/>
  <Override PartName="/word/media/image19.wmf" ContentType="image/x-wmf"/>
  <Override PartName="/word/media/image20.wmf" ContentType="image/x-wmf"/>
  <Override PartName="/word/media/image21.wmf" ContentType="image/x-wmf"/>
  <Override PartName="/word/media/image22.wmf" ContentType="image/x-wmf"/>
  <Override PartName="/word/media/image23.wmf" ContentType="image/x-wmf"/>
  <Override PartName="/word/media/image24.wmf" ContentType="image/x-wmf"/>
  <Override PartName="/word/media/image25.wmf" ContentType="image/x-wmf"/>
  <Override PartName="/word/media/image26.wmf" ContentType="image/x-wmf"/>
  <Override PartName="/word/media/image27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Приложение 1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 государственной программе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«Развитие образования и науки Брянской области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Методика расчета значений показателей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Показатели (индикаторы) государственной программы рассчитываются по формулам: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Внедрение федеральных государственных образовательных стандартов, % (Nо):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714500" cy="457200"/>
            <wp:effectExtent l="0" t="0" r="0" b="0"/>
            <wp:docPr id="1" name="Рисунок 36" descr="base_23753_63431_32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6" descr="base_23753_63431_32768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Nфгос - количество учащихся общеобразовательных организаций области, перешедших на обучение по федеральным государственным образовательным стандартам нового поколения, человек (статистическая отчетность: формы № ОО-1);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Nуч - общее количество учащихся общеобразовательных организаций области, человек (статистическая отчетность: форма № ОО-1).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является статистическая отчетность, размещенная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2. Уровень образования. 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Рассчитывается в соответствии с методикой, утверждённой постановлением Правительства Российской Федерации от 17.07.2019 № 915.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000000"/>
          <w:szCs w:val="24"/>
        </w:rPr>
        <w:t xml:space="preserve">Показатели (индикаторы) основных мероприятий (проектов) </w:t>
      </w:r>
      <w:r>
        <w:rPr>
          <w:rFonts w:cs="Times New Roman" w:ascii="Times New Roman" w:hAnsi="Times New Roman"/>
        </w:rPr>
        <w:t>рассчитываются по формулам: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/>
          <w:color w:val="000000"/>
          <w:szCs w:val="22"/>
        </w:rPr>
      </w:pPr>
      <w:r>
        <w:rPr>
          <w:rFonts w:cs="Times New Roman" w:ascii="Times New Roman" w:hAnsi="Times New Roman"/>
        </w:rPr>
        <w:t xml:space="preserve">3. </w:t>
      </w:r>
      <w:r>
        <w:rPr>
          <w:rFonts w:ascii="Times New Roman" w:hAnsi="Times New Roman"/>
          <w:color w:val="000000"/>
          <w:szCs w:val="22"/>
        </w:rPr>
        <w:t>Доля государственных (муниципальных) образовательных организаций, реализующих программы общего образования и/или среднего профессионального образования, подключенных к сети "Интернет", % (</w:t>
      </w:r>
      <w:r>
        <w:rPr>
          <w:rFonts w:cs="Times New Roman" w:ascii="Times New Roman" w:hAnsi="Times New Roman"/>
          <w:szCs w:val="22"/>
        </w:rPr>
        <w:t>Д</w:t>
      </w:r>
      <w:r>
        <w:rPr>
          <w:rFonts w:cs="Times New Roman" w:ascii="Times New Roman" w:hAnsi="Times New Roman"/>
          <w:szCs w:val="22"/>
          <w:vertAlign w:val="subscript"/>
        </w:rPr>
        <w:t>ооинт</w:t>
      </w:r>
      <w:r>
        <w:rPr>
          <w:rFonts w:ascii="Times New Roman" w:hAnsi="Times New Roman"/>
          <w:color w:val="000000"/>
          <w:szCs w:val="22"/>
        </w:rPr>
        <w:t>):</w:t>
      </w:r>
    </w:p>
    <w:p>
      <w:pPr>
        <w:pStyle w:val="ConsPlusNormal"/>
        <w:spacing w:before="220" w:after="0"/>
        <w:ind w:firstLine="540"/>
        <w:jc w:val="center"/>
        <w:rPr>
          <w:rFonts w:ascii="Times New Roman" w:hAnsi="Times New Roman"/>
          <w:color w:val="000000"/>
          <w:szCs w:val="22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Д</m:t>
              </m:r>
            </m:e>
            <m:sub>
              <m:r>
                <w:rPr>
                  <w:rFonts w:ascii="Cambria Math" w:hAnsi="Cambria Math"/>
                </w:rPr>
                <m:t xml:space="preserve">ооинт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r>
                <w:rPr>
                  <w:rFonts w:ascii="Cambria Math" w:hAnsi="Cambria Math"/>
                </w:rPr>
                <m:t xml:space="preserve">ОО</m:t>
              </m:r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ОО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инт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×</m:t>
          </m:r>
          <m:r>
            <w:rPr>
              <w:rFonts w:ascii="Cambria Math" w:hAnsi="Cambria Math"/>
            </w:rPr>
            <m:t xml:space="preserve">100</m:t>
          </m:r>
          <m:r>
            <m:rPr>
              <m:lit/>
              <m:nor/>
            </m:rPr>
            <w:rPr>
              <w:rFonts w:ascii="Cambria Math" w:hAnsi="Cambria Math"/>
            </w:rPr>
            <m:t xml:space="preserve">%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  <m:r>
            <w:rPr>
              <w:rFonts w:ascii="Cambria Math" w:hAnsi="Cambria Math"/>
            </w:rPr>
            <m:t xml:space="preserve">:</m:t>
          </m:r>
        </m:oMath>
      </m:oMathPara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ОО - общее количество государственных (муниципальных) образовательных организаций, реализующих образовательные программы общего образования и/или среднего профессионального образования в соответствии с утвержденным перечнем;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ОО</w:t>
      </w:r>
      <w:r>
        <w:rPr>
          <w:rFonts w:cs="Times New Roman" w:ascii="Times New Roman" w:hAnsi="Times New Roman"/>
          <w:szCs w:val="22"/>
          <w:vertAlign w:val="subscript"/>
        </w:rPr>
        <w:t>инт</w:t>
      </w:r>
      <w:r>
        <w:rPr>
          <w:rFonts w:cs="Times New Roman" w:ascii="Times New Roman" w:hAnsi="Times New Roman"/>
          <w:szCs w:val="22"/>
        </w:rPr>
        <w:t xml:space="preserve"> - общее количество государственных (муниципальных) образовательных организаций, реализующих образовательные программы общего образования и/или среднего профессионального образования, подключенных к сети "Интернет", в соответствии с утвержденным перечнем.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4. </w:t>
      </w:r>
      <w:r>
        <w:rPr>
          <w:rFonts w:ascii="Times New Roman" w:hAnsi="Times New Roman"/>
          <w:color w:val="000000"/>
          <w:szCs w:val="22"/>
        </w:rPr>
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% (</w:t>
      </w:r>
      <w:r>
        <w:rPr>
          <w:rFonts w:cs="Times New Roman" w:ascii="Times New Roman" w:hAnsi="Times New Roman"/>
        </w:rPr>
        <w:t>(F</w:t>
      </w:r>
      <w:r>
        <w:rPr>
          <w:rFonts w:cs="Times New Roman" w:ascii="Times New Roman" w:hAnsi="Times New Roman"/>
          <w:vertAlign w:val="subscript"/>
        </w:rPr>
        <w:t>пк</w:t>
      </w:r>
      <w:r>
        <w:rPr>
          <w:rFonts w:cs="Times New Roman" w:ascii="Times New Roman" w:hAnsi="Times New Roman"/>
        </w:rPr>
        <w:t>):</w:t>
      </w:r>
    </w:p>
    <w:p>
      <w:pPr>
        <w:pStyle w:val="ConsPlusNormal"/>
        <w:spacing w:before="220" w:after="0"/>
        <w:ind w:firstLine="540"/>
        <w:jc w:val="center"/>
        <w:rPr>
          <w:rFonts w:ascii="Times New Roman" w:hAnsi="Times New Roman" w:cs="Times New Roman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F</m:t>
              </m:r>
            </m:e>
            <m:sub>
              <m:r>
                <w:rPr>
                  <w:rFonts w:ascii="Cambria Math" w:hAnsi="Cambria Math"/>
                </w:rPr>
                <m:t xml:space="preserve">пк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r>
                <w:rPr>
                  <w:rFonts w:ascii="Cambria Math" w:hAnsi="Cambria Math"/>
                </w:rPr>
                <m:t xml:space="preserve">А</m:t>
              </m:r>
              <m:r>
                <w:rPr>
                  <w:rFonts w:ascii="Cambria Math" w:hAnsi="Cambria Math"/>
                </w:rPr>
                <m:t xml:space="preserve">+</m:t>
              </m:r>
              <m:r>
                <w:rPr>
                  <w:rFonts w:ascii="Cambria Math" w:hAnsi="Cambria Math"/>
                </w:rPr>
                <m:t xml:space="preserve">В</m:t>
              </m:r>
            </m:num>
            <m:den>
              <m:r>
                <w:rPr>
                  <w:rFonts w:ascii="Cambria Math" w:hAnsi="Cambria Math"/>
                </w:rPr>
                <m:t xml:space="preserve">С</m:t>
              </m:r>
            </m:den>
          </m:f>
          <m:r>
            <w:rPr>
              <w:rFonts w:ascii="Cambria Math" w:hAnsi="Cambria Math"/>
            </w:rPr>
            <m:t xml:space="preserve">×</m:t>
          </m:r>
          <m:r>
            <w:rPr>
              <w:rFonts w:ascii="Cambria Math" w:hAnsi="Cambria Math"/>
            </w:rPr>
            <m:t xml:space="preserve">100</m:t>
          </m:r>
          <m:r>
            <m:rPr>
              <m:lit/>
              <m:nor/>
            </m:rPr>
            <w:rPr>
              <w:rFonts w:ascii="Cambria Math" w:hAnsi="Cambria Math"/>
            </w:rPr>
            <m:t xml:space="preserve">%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  <m:r>
            <w:rPr>
              <w:rFonts w:ascii="Cambria Math" w:hAnsi="Cambria Math"/>
            </w:rPr>
            <m:t xml:space="preserve">:</m:t>
          </m:r>
        </m:oMath>
      </m:oMathPara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А – численность педагогических работников общеобразовательных организаций, прошедших повышение квалификации по программам, включенным в Федеральный реестр дополнительных профессиональных программ;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В – численность педагогических работников общеобразовательных организаций, прошедших повышение квалификации по дополнительным профессиональным программам, реализуемым центрами непрерывного повышения профессионального мастерства педагогических работников;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С – общая численность педагогических работников общеобразовательных организаций, в соответствии с формой федерального статистического наблюдения № ОО-1.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/>
          <w:color w:val="000000"/>
          <w:szCs w:val="22"/>
        </w:rPr>
      </w:pPr>
      <w:r>
        <w:rPr>
          <w:rFonts w:cs="Times New Roman" w:ascii="Times New Roman" w:hAnsi="Times New Roman"/>
        </w:rPr>
        <w:t xml:space="preserve">5. </w:t>
      </w:r>
      <w:r>
        <w:rPr>
          <w:rFonts w:ascii="Times New Roman" w:hAnsi="Times New Roman"/>
          <w:color w:val="000000"/>
          <w:szCs w:val="22"/>
        </w:rPr>
        <w:t>Охват детей деятельностью региональных центров выявления, поддержки и развития способностей и талантов у детей и молодежи, технопарков «Кванториум» и центров «IT-куб», % (О</w:t>
      </w:r>
      <w:r>
        <w:rPr>
          <w:rFonts w:ascii="Times New Roman" w:hAnsi="Times New Roman"/>
          <w:color w:val="000000"/>
          <w:szCs w:val="22"/>
          <w:vertAlign w:val="subscript"/>
        </w:rPr>
        <w:t>ифп</w:t>
      </w:r>
      <w:r>
        <w:rPr>
          <w:rFonts w:ascii="Times New Roman" w:hAnsi="Times New Roman"/>
          <w:color w:val="000000"/>
          <w:szCs w:val="22"/>
        </w:rPr>
        <w:t>):</w:t>
      </w:r>
    </w:p>
    <w:p>
      <w:pPr>
        <w:pStyle w:val="ConsPlusNormal"/>
        <w:spacing w:before="220" w:after="0"/>
        <w:ind w:firstLine="540"/>
        <w:jc w:val="center"/>
        <w:rPr>
          <w:rFonts w:ascii="Times New Roman" w:hAnsi="Times New Roman"/>
          <w:i/>
          <w:i/>
          <w:color w:val="000000"/>
          <w:szCs w:val="22"/>
          <w:lang w:val="en-US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О</m:t>
              </m:r>
            </m:e>
            <m:sub>
              <m:r>
                <w:rPr>
                  <w:rFonts w:ascii="Cambria Math" w:hAnsi="Cambria Math"/>
                </w:rPr>
                <m:t xml:space="preserve">ифп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d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R</m:t>
                  </m:r>
                </m:sub>
              </m:sSub>
              <m:r>
                <w:rPr>
                  <w:rFonts w:ascii="Cambria Math" w:hAnsi="Cambria Math"/>
                </w:rPr>
                <m:t xml:space="preserve">+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d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KV</m:t>
                  </m:r>
                </m:sub>
              </m:sSub>
              <m:r>
                <w:rPr>
                  <w:rFonts w:ascii="Cambria Math" w:hAnsi="Cambria Math"/>
                </w:rPr>
                <m:t xml:space="preserve">+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d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MKV</m:t>
                  </m:r>
                </m:sub>
              </m:sSub>
              <m:r>
                <w:rPr>
                  <w:rFonts w:ascii="Cambria Math" w:hAnsi="Cambria Math"/>
                </w:rPr>
                <m:t xml:space="preserve">+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d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DNK</m:t>
                  </m:r>
                </m:sub>
              </m:sSub>
              <m:r>
                <w:rPr>
                  <w:rFonts w:ascii="Cambria Math" w:hAnsi="Cambria Math"/>
                </w:rPr>
                <m:t xml:space="preserve">+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d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IT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 xml:space="preserve">Chd</m:t>
              </m:r>
            </m:den>
          </m:f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100</m:t>
          </m:r>
          <m:r>
            <m:rPr>
              <m:lit/>
              <m:nor/>
            </m:rPr>
            <w:rPr>
              <w:rFonts w:ascii="Cambria Math" w:hAnsi="Cambria Math"/>
            </w:rPr>
            <m:t xml:space="preserve">%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  <m:r>
            <w:rPr>
              <w:rFonts w:ascii="Cambria Math" w:hAnsi="Cambria Math"/>
            </w:rPr>
            <m:t xml:space="preserve">:</m:t>
          </m:r>
        </m:oMath>
      </m:oMathPara>
    </w:p>
    <w:p>
      <w:pPr>
        <w:pStyle w:val="22"/>
        <w:shd w:val="clear" w:color="auto" w:fill="auto"/>
        <w:spacing w:lineRule="auto" w:line="240" w:before="220" w:after="0"/>
        <w:ind w:firstLine="539"/>
        <w:jc w:val="both"/>
        <w:rPr>
          <w:sz w:val="22"/>
          <w:szCs w:val="22"/>
          <w:lang w:eastAsia="ru-RU" w:bidi="ru-RU"/>
        </w:rPr>
      </w:pPr>
      <w:r>
        <w:rPr>
          <w:rStyle w:val="21"/>
          <w:color w:val="auto"/>
          <w:sz w:val="22"/>
          <w:szCs w:val="22"/>
        </w:rPr>
        <w:t>d</w:t>
      </w:r>
      <w:r>
        <w:rPr>
          <w:rStyle w:val="21"/>
          <w:color w:val="auto"/>
          <w:sz w:val="22"/>
          <w:szCs w:val="22"/>
          <w:vertAlign w:val="subscript"/>
        </w:rPr>
        <w:t>R</w:t>
      </w:r>
      <w:r>
        <w:rPr>
          <w:rStyle w:val="21"/>
          <w:color w:val="auto"/>
          <w:sz w:val="22"/>
          <w:szCs w:val="22"/>
          <w:lang w:val="ru-RU"/>
        </w:rPr>
        <w:t xml:space="preserve"> </w:t>
      </w:r>
      <w:r>
        <w:rPr>
          <w:rStyle w:val="21"/>
          <w:color w:val="auto"/>
          <w:sz w:val="22"/>
          <w:szCs w:val="22"/>
          <w:lang w:val="ru-RU" w:eastAsia="ru-RU" w:bidi="ru-RU"/>
        </w:rPr>
        <w:t>-</w:t>
      </w:r>
      <w:r>
        <w:rPr>
          <w:sz w:val="22"/>
          <w:szCs w:val="22"/>
          <w:lang w:eastAsia="ru-RU" w:bidi="ru-RU"/>
        </w:rPr>
        <w:t xml:space="preserve"> численность детей от 10 до 18 лет (18 лет не включается), охваченных деятельностью региональных центров выявления, поддержки и развития способностей и талантов у детей и молодежи (каждый человек учитывается с начала отчетного года до конца отчетного года только один раз; учет ведется нарастающим итогом);</w:t>
      </w:r>
    </w:p>
    <w:p>
      <w:pPr>
        <w:pStyle w:val="22"/>
        <w:shd w:val="clear" w:color="auto" w:fill="auto"/>
        <w:spacing w:lineRule="auto" w:line="240" w:before="220" w:after="0"/>
        <w:ind w:firstLine="539"/>
        <w:jc w:val="both"/>
        <w:rPr>
          <w:sz w:val="22"/>
          <w:szCs w:val="22"/>
        </w:rPr>
      </w:pPr>
      <w:r>
        <w:rPr>
          <w:rStyle w:val="21"/>
          <w:color w:val="auto"/>
          <w:sz w:val="22"/>
          <w:szCs w:val="22"/>
        </w:rPr>
        <w:t>d</w:t>
      </w:r>
      <w:r>
        <w:rPr>
          <w:rStyle w:val="21"/>
          <w:color w:val="auto"/>
          <w:sz w:val="22"/>
          <w:szCs w:val="22"/>
          <w:vertAlign w:val="subscript"/>
        </w:rPr>
        <w:t>KV</w:t>
      </w:r>
      <w:r>
        <w:rPr>
          <w:sz w:val="22"/>
          <w:szCs w:val="22"/>
          <w:lang w:bidi="en-US"/>
        </w:rPr>
        <w:t xml:space="preserve"> </w:t>
      </w:r>
      <w:r>
        <w:rPr>
          <w:sz w:val="22"/>
          <w:szCs w:val="22"/>
          <w:lang w:eastAsia="ru-RU" w:bidi="ru-RU"/>
        </w:rPr>
        <w:t>- численность детей от 10 до 18 лет (18 лет не включается), охваченных деятельностью детских технопарков «Кванториум» (каждый человек учитывается с начала отчетного года до конца отчетного года только один раз; учет ведется нарастающим итогом);</w:t>
      </w:r>
    </w:p>
    <w:p>
      <w:pPr>
        <w:pStyle w:val="22"/>
        <w:shd w:val="clear" w:color="auto" w:fill="auto"/>
        <w:spacing w:lineRule="auto" w:line="240" w:before="220" w:after="0"/>
        <w:ind w:firstLine="539"/>
        <w:jc w:val="both"/>
        <w:rPr>
          <w:sz w:val="22"/>
          <w:szCs w:val="22"/>
        </w:rPr>
      </w:pPr>
      <w:r>
        <w:rPr>
          <w:rStyle w:val="21"/>
          <w:color w:val="auto"/>
          <w:sz w:val="22"/>
          <w:szCs w:val="22"/>
        </w:rPr>
        <w:t>d</w:t>
      </w:r>
      <w:r>
        <w:rPr>
          <w:rStyle w:val="21"/>
          <w:color w:val="auto"/>
          <w:sz w:val="22"/>
          <w:szCs w:val="22"/>
          <w:vertAlign w:val="subscript"/>
        </w:rPr>
        <w:t>MKV</w:t>
      </w:r>
      <w:r>
        <w:rPr>
          <w:sz w:val="22"/>
          <w:szCs w:val="22"/>
          <w:lang w:bidi="en-US"/>
        </w:rPr>
        <w:t xml:space="preserve"> </w:t>
      </w:r>
      <w:r>
        <w:rPr>
          <w:sz w:val="22"/>
          <w:szCs w:val="22"/>
          <w:lang w:eastAsia="ru-RU" w:bidi="ru-RU"/>
        </w:rPr>
        <w:t>- численность детей от 5 до 18 лет (18 лет не включается), охваченных деятельностью мобильных детских технопарков «Кванториум» (каждый человек учитывается с начала отчетного года до конца отчетного года только один раз; учет ведется нарастающим итогом);</w:t>
      </w:r>
    </w:p>
    <w:p>
      <w:pPr>
        <w:pStyle w:val="22"/>
        <w:shd w:val="clear" w:color="auto" w:fill="auto"/>
        <w:spacing w:lineRule="auto" w:line="240" w:before="220" w:after="0"/>
        <w:ind w:firstLine="539"/>
        <w:jc w:val="both"/>
        <w:rPr>
          <w:sz w:val="22"/>
          <w:szCs w:val="22"/>
        </w:rPr>
      </w:pPr>
      <w:r>
        <w:rPr>
          <w:rStyle w:val="21"/>
          <w:color w:val="auto"/>
          <w:sz w:val="22"/>
          <w:szCs w:val="22"/>
        </w:rPr>
        <w:t>d</w:t>
      </w:r>
      <w:r>
        <w:rPr>
          <w:rStyle w:val="21"/>
          <w:color w:val="auto"/>
          <w:sz w:val="22"/>
          <w:szCs w:val="22"/>
          <w:vertAlign w:val="subscript"/>
        </w:rPr>
        <w:t>DNK</w:t>
      </w:r>
      <w:r>
        <w:rPr>
          <w:rStyle w:val="21"/>
          <w:color w:val="auto"/>
          <w:sz w:val="22"/>
          <w:szCs w:val="22"/>
          <w:lang w:val="ru-RU"/>
        </w:rPr>
        <w:t xml:space="preserve"> </w:t>
      </w:r>
      <w:r>
        <w:rPr>
          <w:rStyle w:val="21"/>
          <w:color w:val="auto"/>
          <w:sz w:val="22"/>
          <w:szCs w:val="22"/>
          <w:lang w:val="ru-RU" w:eastAsia="ru-RU" w:bidi="ru-RU"/>
        </w:rPr>
        <w:t>~</w:t>
      </w:r>
      <w:r>
        <w:rPr>
          <w:sz w:val="22"/>
          <w:szCs w:val="22"/>
          <w:lang w:eastAsia="ru-RU" w:bidi="ru-RU"/>
        </w:rPr>
        <w:t xml:space="preserve"> численность детей от 5 до 18 лет (18 лет не включается), охваченных деятельностью ключевых центров дополнительного образования детей (центров «Дом научной коллаборации») (каждый человек учитывается с начала отчетного года до конца отчетного года только один раз; учет ведется нарастающим итогом);</w:t>
      </w:r>
    </w:p>
    <w:p>
      <w:pPr>
        <w:pStyle w:val="22"/>
        <w:shd w:val="clear" w:color="auto" w:fill="auto"/>
        <w:spacing w:lineRule="auto" w:line="240" w:before="220" w:after="0"/>
        <w:ind w:firstLine="539"/>
        <w:jc w:val="both"/>
        <w:rPr>
          <w:sz w:val="22"/>
          <w:szCs w:val="22"/>
        </w:rPr>
      </w:pPr>
      <w:r>
        <w:rPr>
          <w:rStyle w:val="21"/>
          <w:color w:val="auto"/>
          <w:sz w:val="22"/>
          <w:szCs w:val="22"/>
        </w:rPr>
        <w:t>d</w:t>
      </w:r>
      <w:r>
        <w:rPr>
          <w:rStyle w:val="21"/>
          <w:color w:val="auto"/>
          <w:sz w:val="22"/>
          <w:szCs w:val="22"/>
          <w:vertAlign w:val="subscript"/>
        </w:rPr>
        <w:t>IT</w:t>
      </w:r>
      <w:r>
        <w:rPr>
          <w:sz w:val="22"/>
          <w:szCs w:val="22"/>
          <w:vertAlign w:val="subscript"/>
          <w:lang w:bidi="en-US"/>
        </w:rPr>
        <w:t xml:space="preserve"> </w:t>
      </w:r>
      <w:r>
        <w:rPr>
          <w:sz w:val="22"/>
          <w:szCs w:val="22"/>
          <w:lang w:eastAsia="ru-RU" w:bidi="ru-RU"/>
        </w:rPr>
        <w:t xml:space="preserve">- численность детей от 5 до 18 лет (18 лет не включается), охваченных деятельностью ключевых центров цифрового образования </w:t>
      </w:r>
      <w:r>
        <w:rPr>
          <w:sz w:val="22"/>
          <w:szCs w:val="22"/>
          <w:lang w:bidi="en-US"/>
        </w:rPr>
        <w:t>«</w:t>
      </w:r>
      <w:r>
        <w:rPr>
          <w:sz w:val="22"/>
          <w:szCs w:val="22"/>
          <w:lang w:val="en-US" w:bidi="en-US"/>
        </w:rPr>
        <w:t>IT</w:t>
      </w:r>
      <w:r>
        <w:rPr>
          <w:sz w:val="22"/>
          <w:szCs w:val="22"/>
          <w:lang w:eastAsia="ru-RU" w:bidi="ru-RU"/>
        </w:rPr>
        <w:t>-куб» (каждый человек учитывается с начала отчетного года до конца отчетного года только один раз; учет ведется нарастающим итогом);</w:t>
      </w:r>
    </w:p>
    <w:p>
      <w:pPr>
        <w:pStyle w:val="ConsPlusNormal"/>
        <w:spacing w:before="220" w:after="0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Style w:val="21"/>
          <w:color w:val="auto"/>
          <w:sz w:val="22"/>
          <w:szCs w:val="22"/>
        </w:rPr>
        <w:t>Chd</w:t>
      </w:r>
      <w:r>
        <w:rPr>
          <w:rFonts w:cs="Times New Roman" w:ascii="Times New Roman" w:hAnsi="Times New Roman"/>
          <w:szCs w:val="22"/>
          <w:lang w:eastAsia="en-US" w:bidi="en-US"/>
        </w:rPr>
        <w:t xml:space="preserve"> </w:t>
      </w:r>
      <w:r>
        <w:rPr>
          <w:rFonts w:cs="Times New Roman" w:ascii="Times New Roman" w:hAnsi="Times New Roman"/>
          <w:szCs w:val="22"/>
          <w:lang w:bidi="ru-RU"/>
        </w:rPr>
        <w:t>- численность детей в возрасте от 5 до 18 лет (18 лет не включается), охваченных дополнительным образованием детей (каждый человек учитывается с начала отчетного года до конца отчетного года только один раз; учет ведется нарастающим итогом).</w:t>
      </w:r>
    </w:p>
    <w:p>
      <w:pPr>
        <w:pStyle w:val="ConsPlusNormal"/>
        <w:spacing w:before="220" w:after="0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</w:rPr>
        <w:t xml:space="preserve">6. </w:t>
      </w:r>
      <w:r>
        <w:rPr>
          <w:rFonts w:ascii="Times New Roman" w:hAnsi="Times New Roman"/>
          <w:color w:val="000000"/>
          <w:szCs w:val="22"/>
        </w:rPr>
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будущее», % (</w:t>
      </w:r>
      <w:r>
        <w:rPr>
          <w:rFonts w:ascii="Times New Roman" w:hAnsi="Times New Roman"/>
          <w:color w:val="000000"/>
          <w:szCs w:val="22"/>
          <w:lang w:val="en-US"/>
        </w:rPr>
        <w:t>F</w:t>
      </w:r>
      <w:r>
        <w:rPr>
          <w:rFonts w:ascii="Times New Roman" w:hAnsi="Times New Roman"/>
          <w:color w:val="000000"/>
          <w:szCs w:val="22"/>
        </w:rPr>
        <w:t>):</w:t>
      </w:r>
    </w:p>
    <w:p>
      <w:pPr>
        <w:pStyle w:val="ConsPlusNormal"/>
        <w:spacing w:before="220" w:after="0"/>
        <w:ind w:firstLine="539"/>
        <w:jc w:val="center"/>
        <w:rPr>
          <w:rFonts w:ascii="Times New Roman" w:hAnsi="Times New Roman" w:cs="Times New Roman"/>
          <w:i/>
          <w:i/>
          <w:lang w:val="en-US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F</m:t>
              </m:r>
            </m:e>
            <m:sub>
              <m:r>
                <w:rPr>
                  <w:rFonts w:ascii="Cambria Math" w:hAnsi="Cambria Math"/>
                </w:rPr>
                <m:t xml:space="preserve">i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X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  <m:r>
                <w:rPr>
                  <w:rFonts w:ascii="Cambria Math" w:hAnsi="Cambria Math"/>
                </w:rPr>
                <m:t xml:space="preserve">+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Y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 xml:space="preserve">Z</m:t>
              </m:r>
            </m:den>
          </m:f>
          <m:r>
            <w:rPr>
              <w:rFonts w:ascii="Cambria Math" w:hAnsi="Cambria Math"/>
            </w:rPr>
            <m:t xml:space="preserve">×</m:t>
          </m:r>
          <m:r>
            <w:rPr>
              <w:rFonts w:ascii="Cambria Math" w:hAnsi="Cambria Math"/>
            </w:rPr>
            <m:t xml:space="preserve">100</m:t>
          </m:r>
          <m:r>
            <m:rPr>
              <m:lit/>
              <m:nor/>
            </m:rPr>
            <w:rPr>
              <w:rFonts w:ascii="Cambria Math" w:hAnsi="Cambria Math"/>
            </w:rPr>
            <m:t xml:space="preserve">%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  <m:r>
            <w:rPr>
              <w:rFonts w:ascii="Cambria Math" w:hAnsi="Cambria Math"/>
            </w:rPr>
            <m:t xml:space="preserve">:</m:t>
          </m:r>
        </m:oMath>
      </m:oMathPara>
    </w:p>
    <w:p>
      <w:pPr>
        <w:pStyle w:val="22"/>
        <w:shd w:val="clear" w:color="auto" w:fill="auto"/>
        <w:spacing w:lineRule="auto" w:line="240" w:before="220" w:after="0"/>
        <w:ind w:firstLine="539"/>
        <w:jc w:val="both"/>
        <w:rPr>
          <w:sz w:val="24"/>
          <w:szCs w:val="24"/>
        </w:rPr>
      </w:pPr>
      <w:r>
        <w:rPr>
          <w:rStyle w:val="21"/>
          <w:sz w:val="24"/>
          <w:szCs w:val="24"/>
        </w:rPr>
        <w:t>X</w:t>
      </w:r>
      <w:r>
        <w:rPr>
          <w:rStyle w:val="21"/>
          <w:sz w:val="24"/>
          <w:szCs w:val="24"/>
          <w:vertAlign w:val="subscript"/>
          <w:lang w:val="ru-RU"/>
        </w:rPr>
        <w:t xml:space="preserve"> </w:t>
      </w:r>
      <w:r>
        <w:rPr>
          <w:sz w:val="24"/>
          <w:szCs w:val="24"/>
        </w:rPr>
        <w:t>- число участников открытых онлайн-уроков, реализуемых с учетом опыта цикла открытых уроков «Проектория», направленных на раннюю профориентацию за соответствующий календарный год;</w:t>
      </w:r>
    </w:p>
    <w:p>
      <w:pPr>
        <w:pStyle w:val="22"/>
        <w:shd w:val="clear" w:color="auto" w:fill="auto"/>
        <w:spacing w:lineRule="auto" w:line="240" w:before="220" w:after="0"/>
        <w:ind w:firstLine="539"/>
        <w:jc w:val="both"/>
        <w:rPr>
          <w:sz w:val="24"/>
          <w:szCs w:val="24"/>
        </w:rPr>
      </w:pPr>
      <w:r>
        <w:rPr>
          <w:rStyle w:val="21"/>
          <w:sz w:val="24"/>
          <w:szCs w:val="24"/>
        </w:rPr>
        <w:t>Y</w:t>
      </w:r>
      <w:r>
        <w:rPr>
          <w:sz w:val="24"/>
          <w:szCs w:val="24"/>
          <w:lang w:bidi="en-US"/>
        </w:rPr>
        <w:t xml:space="preserve"> </w:t>
      </w:r>
      <w:r>
        <w:rPr>
          <w:sz w:val="24"/>
          <w:szCs w:val="24"/>
        </w:rPr>
        <w:t>- число детей, принявших участие в мероприятиях по профессиональной ориентации в рамках реализации проекта «Билет в будущее» в соответствующем году;</w:t>
      </w:r>
    </w:p>
    <w:p>
      <w:pPr>
        <w:pStyle w:val="22"/>
        <w:shd w:val="clear" w:color="auto" w:fill="auto"/>
        <w:spacing w:lineRule="auto" w:line="240" w:before="220" w:after="0"/>
        <w:ind w:firstLine="539"/>
        <w:jc w:val="left"/>
        <w:rPr/>
      </w:pPr>
      <w:r>
        <w:rPr>
          <w:rStyle w:val="21"/>
          <w:sz w:val="24"/>
          <w:szCs w:val="24"/>
        </w:rPr>
        <w:t>Z</w:t>
      </w:r>
      <w:r>
        <w:rPr>
          <w:sz w:val="24"/>
          <w:szCs w:val="24"/>
          <w:lang w:bidi="en-US"/>
        </w:rPr>
        <w:t xml:space="preserve"> </w:t>
      </w:r>
      <w:r>
        <w:rPr>
          <w:sz w:val="24"/>
          <w:szCs w:val="24"/>
        </w:rPr>
        <w:t>- общее количество обучающихся по образовательным программам основного и среднего общего образования в субъекте за соответствующий год.</w:t>
      </w:r>
    </w:p>
    <w:p>
      <w:pPr>
        <w:pStyle w:val="ConsPlusNormal"/>
        <w:spacing w:before="220" w:after="0"/>
        <w:ind w:firstLine="539"/>
        <w:jc w:val="both"/>
        <w:rPr>
          <w:rFonts w:ascii="Times New Roman" w:hAnsi="Times New Roman"/>
          <w:color w:val="000000"/>
          <w:szCs w:val="22"/>
        </w:rPr>
      </w:pPr>
      <w:r>
        <w:rPr>
          <w:rFonts w:cs="Times New Roman" w:ascii="Times New Roman" w:hAnsi="Times New Roman"/>
        </w:rPr>
        <w:t xml:space="preserve">7. </w:t>
      </w:r>
      <w:r>
        <w:rPr>
          <w:rFonts w:ascii="Times New Roman" w:hAnsi="Times New Roman"/>
          <w:color w:val="000000"/>
          <w:szCs w:val="22"/>
        </w:rPr>
        <w:t>Количество субъектов Российской Федерации, выдающих сертификаты дополнительного образования в рамках системы персонифицированного финансирования дополнительного образования детей.</w:t>
      </w:r>
    </w:p>
    <w:p>
      <w:pPr>
        <w:pStyle w:val="ConsPlusNormal"/>
        <w:spacing w:before="220" w:after="0"/>
        <w:ind w:firstLine="53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000000"/>
          <w:lang w:bidi="ru-RU"/>
        </w:rPr>
        <w:t>Источником информации для расчета показателя являются данные о сертификатах дополнительного образования, использованных в рамках системы персонифицированного финансирования дополнительного образования детей, агрегируемые ЕАИС ДО.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8. Доля детей в возрасте от 5 до 18 лет, охваченных дополнительным образованием, % (Дд):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685925" cy="447675"/>
            <wp:effectExtent l="0" t="0" r="0" b="0"/>
            <wp:docPr id="2" name="Рисунок 3" descr="base_23753_63431_32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" descr="base_23753_63431_32801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Сдпу - численность детей, получающих услуги дополнительного образования в возрасте от 5 до 18 лет (периодическая отчетность: форма № 85-К);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Собщ - общая численность детей в возрасте от 5 до 18 лет (периодическая отчетность: форма № 85-К).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/>
          <w:color w:val="000000"/>
          <w:szCs w:val="22"/>
        </w:rPr>
      </w:pPr>
      <w:r>
        <w:rPr>
          <w:rFonts w:cs="Times New Roman" w:ascii="Times New Roman" w:hAnsi="Times New Roman"/>
        </w:rPr>
        <w:t xml:space="preserve">9. </w:t>
      </w:r>
      <w:r>
        <w:rPr>
          <w:rFonts w:ascii="Times New Roman" w:hAnsi="Times New Roman"/>
          <w:color w:val="000000"/>
          <w:szCs w:val="22"/>
        </w:rPr>
        <w:t>Доля общеобразовательных организаций, оснащенных в целях внедрения цифровой образовательной среды, % (</w:t>
      </w:r>
      <w:r>
        <w:rPr>
          <w:rFonts w:ascii="Times New Roman" w:hAnsi="Times New Roman"/>
          <w:color w:val="000000"/>
          <w:szCs w:val="22"/>
          <w:lang w:val="en-US"/>
        </w:rPr>
        <w:t>F</w:t>
      </w:r>
      <w:r>
        <w:rPr>
          <w:rFonts w:ascii="Times New Roman" w:hAnsi="Times New Roman"/>
          <w:color w:val="000000"/>
          <w:szCs w:val="22"/>
          <w:vertAlign w:val="subscript"/>
        </w:rPr>
        <w:t>цос</w:t>
      </w:r>
      <w:r>
        <w:rPr>
          <w:rFonts w:ascii="Times New Roman" w:hAnsi="Times New Roman"/>
          <w:color w:val="000000"/>
          <w:szCs w:val="22"/>
        </w:rPr>
        <w:t>):</w:t>
      </w:r>
    </w:p>
    <w:p>
      <w:pPr>
        <w:pStyle w:val="ConsPlusNormal"/>
        <w:spacing w:before="220" w:after="0"/>
        <w:ind w:firstLine="540"/>
        <w:jc w:val="center"/>
        <w:rPr>
          <w:rFonts w:ascii="Times New Roman" w:hAnsi="Times New Roman" w:cs="Times New Roman"/>
          <w:szCs w:val="22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F</m:t>
              </m:r>
            </m:e>
            <m:sub>
              <m:r>
                <w:rPr>
                  <w:rFonts w:ascii="Cambria Math" w:hAnsi="Cambria Math"/>
                </w:rPr>
                <m:t xml:space="preserve">цос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r>
                <w:rPr>
                  <w:rFonts w:ascii="Cambria Math" w:hAnsi="Cambria Math"/>
                </w:rPr>
                <m:t xml:space="preserve">X</m:t>
              </m:r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Y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всего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×</m:t>
          </m:r>
          <m:r>
            <w:rPr>
              <w:rFonts w:ascii="Cambria Math" w:hAnsi="Cambria Math"/>
            </w:rPr>
            <m:t xml:space="preserve">100</m:t>
          </m:r>
          <m:r>
            <m:rPr>
              <m:lit/>
              <m:nor/>
            </m:rPr>
            <w:rPr>
              <w:rFonts w:ascii="Cambria Math" w:hAnsi="Cambria Math"/>
            </w:rPr>
            <m:t xml:space="preserve">%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  <m:r>
            <w:rPr>
              <w:rFonts w:ascii="Cambria Math" w:hAnsi="Cambria Math"/>
            </w:rPr>
            <m:t xml:space="preserve">:</m:t>
          </m:r>
        </m:oMath>
      </m:oMathPara>
    </w:p>
    <w:p>
      <w:pPr>
        <w:pStyle w:val="22"/>
        <w:shd w:val="clear" w:color="auto" w:fill="auto"/>
        <w:spacing w:lineRule="auto" w:line="240" w:before="220" w:after="0"/>
        <w:ind w:firstLine="539"/>
        <w:jc w:val="both"/>
        <w:rPr>
          <w:sz w:val="22"/>
          <w:szCs w:val="22"/>
        </w:rPr>
      </w:pPr>
      <w:r>
        <w:rPr>
          <w:sz w:val="22"/>
          <w:szCs w:val="22"/>
          <w:lang w:val="en-US" w:bidi="en-US"/>
        </w:rPr>
        <w:t>X</w:t>
      </w:r>
      <w:r>
        <w:rPr>
          <w:sz w:val="22"/>
          <w:szCs w:val="22"/>
          <w:lang w:bidi="en-US"/>
        </w:rPr>
        <w:t xml:space="preserve"> </w:t>
      </w:r>
      <w:r>
        <w:rPr>
          <w:sz w:val="22"/>
          <w:szCs w:val="22"/>
        </w:rPr>
        <w:t>- число общеобразовательных организаций, оснащенных в целях внедрения цифровой образовательной среды, в субъекте за отчетный год (по сумме 4-х кварталов), единиц;</w:t>
      </w:r>
    </w:p>
    <w:p>
      <w:pPr>
        <w:pStyle w:val="ConsPlusNormal"/>
        <w:spacing w:before="220" w:after="0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  <w:lang w:val="en-US" w:eastAsia="en-US" w:bidi="en-US"/>
        </w:rPr>
        <w:t>Y</w:t>
      </w:r>
      <w:r>
        <w:rPr>
          <w:rFonts w:cs="Times New Roman" w:ascii="Times New Roman" w:hAnsi="Times New Roman"/>
          <w:szCs w:val="22"/>
          <w:vertAlign w:val="subscript"/>
        </w:rPr>
        <w:t>всего</w:t>
      </w:r>
      <w:r>
        <w:rPr>
          <w:rFonts w:cs="Times New Roman" w:ascii="Times New Roman" w:hAnsi="Times New Roman"/>
          <w:szCs w:val="22"/>
        </w:rPr>
        <w:t xml:space="preserve"> - общее число общеобразовательных организаций в субъекте в соответствии с формой № ОО-1 за отчетный период, единиц.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/>
          <w:color w:val="000000"/>
          <w:szCs w:val="22"/>
        </w:rPr>
      </w:pPr>
      <w:r>
        <w:rPr>
          <w:rFonts w:cs="Times New Roman" w:ascii="Times New Roman" w:hAnsi="Times New Roman"/>
        </w:rPr>
        <w:t xml:space="preserve">10. </w:t>
      </w:r>
      <w:r>
        <w:rPr>
          <w:rFonts w:ascii="Times New Roman" w:hAnsi="Times New Roman"/>
          <w:color w:val="000000"/>
          <w:szCs w:val="22"/>
        </w:rPr>
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% (</w:t>
      </w:r>
      <w:r>
        <w:rPr>
          <w:rFonts w:ascii="Times New Roman" w:hAnsi="Times New Roman"/>
          <w:color w:val="000000"/>
          <w:szCs w:val="22"/>
          <w:lang w:val="en-US"/>
        </w:rPr>
        <w:t>F</w:t>
      </w:r>
      <w:r>
        <w:rPr>
          <w:rFonts w:ascii="Times New Roman" w:hAnsi="Times New Roman"/>
          <w:color w:val="000000"/>
          <w:szCs w:val="22"/>
          <w:vertAlign w:val="subscript"/>
        </w:rPr>
        <w:t>АОИСП</w:t>
      </w:r>
      <w:r>
        <w:rPr>
          <w:rFonts w:ascii="Times New Roman" w:hAnsi="Times New Roman"/>
          <w:color w:val="000000"/>
          <w:szCs w:val="22"/>
        </w:rPr>
        <w:t>):</w:t>
      </w:r>
    </w:p>
    <w:p>
      <w:pPr>
        <w:pStyle w:val="ConsPlusNormal"/>
        <w:spacing w:before="220" w:after="0"/>
        <w:ind w:firstLine="540"/>
        <w:jc w:val="center"/>
        <w:rPr>
          <w:rFonts w:ascii="Times New Roman" w:hAnsi="Times New Roman" w:cs="Times New Roman"/>
          <w:szCs w:val="22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F</m:t>
              </m:r>
            </m:e>
            <m:sub>
              <m:r>
                <w:rPr>
                  <w:rFonts w:ascii="Cambria Math" w:hAnsi="Cambria Math"/>
                </w:rPr>
                <m:t xml:space="preserve">АОИСП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r>
                <w:rPr>
                  <w:rFonts w:ascii="Cambria Math" w:hAnsi="Cambria Math"/>
                </w:rPr>
                <m:t xml:space="preserve">X</m:t>
              </m:r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Y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всего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×</m:t>
          </m:r>
          <m:r>
            <w:rPr>
              <w:rFonts w:ascii="Cambria Math" w:hAnsi="Cambria Math"/>
            </w:rPr>
            <m:t xml:space="preserve">100</m:t>
          </m:r>
          <m:r>
            <m:rPr>
              <m:lit/>
              <m:nor/>
            </m:rPr>
            <w:rPr>
              <w:rFonts w:ascii="Cambria Math" w:hAnsi="Cambria Math"/>
            </w:rPr>
            <m:t xml:space="preserve">%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  <m:r>
            <w:rPr>
              <w:rFonts w:ascii="Cambria Math" w:hAnsi="Cambria Math"/>
            </w:rPr>
            <m:t xml:space="preserve">:</m:t>
          </m:r>
        </m:oMath>
      </m:oMathPara>
    </w:p>
    <w:p>
      <w:pPr>
        <w:pStyle w:val="22"/>
        <w:shd w:val="clear" w:color="auto" w:fill="auto"/>
        <w:spacing w:lineRule="auto" w:line="240" w:before="220" w:after="0"/>
        <w:ind w:firstLine="539"/>
        <w:jc w:val="both"/>
        <w:rPr>
          <w:sz w:val="22"/>
          <w:szCs w:val="22"/>
        </w:rPr>
      </w:pPr>
      <w:r>
        <w:rPr>
          <w:sz w:val="22"/>
          <w:szCs w:val="22"/>
          <w:lang w:val="en-US" w:bidi="en-US"/>
        </w:rPr>
        <w:t>X</w:t>
      </w:r>
      <w:r>
        <w:rPr>
          <w:sz w:val="22"/>
          <w:szCs w:val="22"/>
          <w:lang w:bidi="en-US"/>
        </w:rPr>
        <w:t xml:space="preserve"> </w:t>
      </w:r>
      <w:r>
        <w:rPr>
          <w:sz w:val="22"/>
          <w:szCs w:val="22"/>
        </w:rPr>
        <w:t>- численность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в субъекте в отчетном году, человек;</w:t>
      </w:r>
    </w:p>
    <w:p>
      <w:pPr>
        <w:pStyle w:val="ConsPlusNormal"/>
        <w:spacing w:before="220" w:after="0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  <w:lang w:val="en-US" w:eastAsia="en-US" w:bidi="en-US"/>
        </w:rPr>
        <w:t>Y</w:t>
      </w:r>
      <w:r>
        <w:rPr>
          <w:rFonts w:cs="Times New Roman" w:ascii="Times New Roman" w:hAnsi="Times New Roman"/>
          <w:szCs w:val="22"/>
          <w:vertAlign w:val="subscript"/>
        </w:rPr>
        <w:t>всего</w:t>
      </w:r>
      <w:r>
        <w:rPr>
          <w:rFonts w:cs="Times New Roman" w:ascii="Times New Roman" w:hAnsi="Times New Roman"/>
          <w:szCs w:val="22"/>
        </w:rPr>
        <w:t xml:space="preserve"> - общая численность обучающихся в субъекте в отчетном году в соответствии с формой № 00-1 за отчетный период, человек.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/>
          <w:color w:val="000000"/>
          <w:szCs w:val="22"/>
        </w:rPr>
      </w:pPr>
      <w:r>
        <w:rPr>
          <w:rFonts w:cs="Times New Roman" w:ascii="Times New Roman" w:hAnsi="Times New Roman"/>
        </w:rPr>
        <w:t xml:space="preserve">11. </w:t>
      </w:r>
      <w:r>
        <w:rPr>
          <w:rFonts w:ascii="Times New Roman" w:hAnsi="Times New Roman"/>
          <w:color w:val="000000"/>
          <w:szCs w:val="22"/>
        </w:rPr>
        <w:t>Доля педагогических работников, использующих сервисы федеральной информационно-сервисной платформы цифровой образовательной среды, % (</w:t>
      </w:r>
      <w:r>
        <w:rPr>
          <w:rFonts w:ascii="Times New Roman" w:hAnsi="Times New Roman"/>
          <w:color w:val="000000"/>
          <w:szCs w:val="22"/>
          <w:lang w:val="en-US"/>
        </w:rPr>
        <w:t>F</w:t>
      </w:r>
      <w:r>
        <w:rPr>
          <w:rFonts w:ascii="Times New Roman" w:hAnsi="Times New Roman"/>
          <w:color w:val="000000"/>
          <w:szCs w:val="22"/>
          <w:vertAlign w:val="subscript"/>
        </w:rPr>
        <w:t>ПРИСП</w:t>
      </w:r>
      <w:r>
        <w:rPr>
          <w:rFonts w:ascii="Times New Roman" w:hAnsi="Times New Roman"/>
          <w:color w:val="000000"/>
          <w:szCs w:val="22"/>
        </w:rPr>
        <w:t>):</w:t>
      </w:r>
    </w:p>
    <w:p>
      <w:pPr>
        <w:pStyle w:val="ConsPlusNormal"/>
        <w:spacing w:before="220" w:after="0"/>
        <w:ind w:firstLine="540"/>
        <w:jc w:val="center"/>
        <w:rPr>
          <w:rFonts w:ascii="Times New Roman" w:hAnsi="Times New Roman" w:cs="Times New Roman"/>
          <w:szCs w:val="22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F</m:t>
              </m:r>
            </m:e>
            <m:sub>
              <m:r>
                <w:rPr>
                  <w:rFonts w:ascii="Cambria Math" w:hAnsi="Cambria Math"/>
                </w:rPr>
                <m:t xml:space="preserve">ПРИСП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r>
                <w:rPr>
                  <w:rFonts w:ascii="Cambria Math" w:hAnsi="Cambria Math"/>
                </w:rPr>
                <m:t xml:space="preserve">X</m:t>
              </m:r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Y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всего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×</m:t>
          </m:r>
          <m:r>
            <w:rPr>
              <w:rFonts w:ascii="Cambria Math" w:hAnsi="Cambria Math"/>
            </w:rPr>
            <m:t xml:space="preserve">100</m:t>
          </m:r>
          <m:r>
            <m:rPr>
              <m:lit/>
              <m:nor/>
            </m:rPr>
            <w:rPr>
              <w:rFonts w:ascii="Cambria Math" w:hAnsi="Cambria Math"/>
            </w:rPr>
            <m:t xml:space="preserve">%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  <m:r>
            <w:rPr>
              <w:rFonts w:ascii="Cambria Math" w:hAnsi="Cambria Math"/>
            </w:rPr>
            <m:t xml:space="preserve">:</m:t>
          </m:r>
        </m:oMath>
      </m:oMathPara>
    </w:p>
    <w:p>
      <w:pPr>
        <w:pStyle w:val="22"/>
        <w:shd w:val="clear" w:color="auto" w:fill="auto"/>
        <w:spacing w:lineRule="auto" w:line="240" w:before="220" w:after="0"/>
        <w:ind w:firstLine="539"/>
        <w:jc w:val="both"/>
        <w:rPr>
          <w:sz w:val="22"/>
          <w:szCs w:val="22"/>
        </w:rPr>
      </w:pPr>
      <w:r>
        <w:rPr>
          <w:sz w:val="22"/>
          <w:szCs w:val="22"/>
          <w:lang w:val="en-US" w:bidi="en-US"/>
        </w:rPr>
        <w:t>X</w:t>
      </w:r>
      <w:r>
        <w:rPr>
          <w:sz w:val="22"/>
          <w:szCs w:val="22"/>
          <w:lang w:bidi="en-US"/>
        </w:rPr>
        <w:t xml:space="preserve"> </w:t>
      </w:r>
      <w:r>
        <w:rPr>
          <w:sz w:val="22"/>
          <w:szCs w:val="22"/>
        </w:rPr>
        <w:t>- число педагогических работников, использующих сервисы и ресурсы федеральной информационно-сервисной платформы цифровой образовательной среды, человек;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Cs w:val="22"/>
          <w:lang w:val="en-US" w:eastAsia="en-US" w:bidi="en-US"/>
        </w:rPr>
        <w:t>Y</w:t>
      </w:r>
      <w:r>
        <w:rPr>
          <w:rFonts w:cs="Times New Roman" w:ascii="Times New Roman" w:hAnsi="Times New Roman"/>
          <w:szCs w:val="22"/>
          <w:vertAlign w:val="subscript"/>
        </w:rPr>
        <w:t>всего</w:t>
      </w:r>
      <w:r>
        <w:rPr>
          <w:rFonts w:cs="Times New Roman" w:ascii="Times New Roman" w:hAnsi="Times New Roman"/>
          <w:szCs w:val="22"/>
        </w:rPr>
        <w:t xml:space="preserve"> - общая численность педагогических работников</w:t>
      </w:r>
      <w:r>
        <w:rPr>
          <w:sz w:val="24"/>
          <w:szCs w:val="24"/>
        </w:rPr>
        <w:t xml:space="preserve"> </w:t>
      </w:r>
      <w:r>
        <w:rPr>
          <w:rFonts w:cs="Times New Roman" w:ascii="Times New Roman" w:hAnsi="Times New Roman"/>
          <w:szCs w:val="22"/>
        </w:rPr>
        <w:t>в субъекте в отчетном году в соответствии с формой № 00-1 за отчетный период, человек.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/>
          <w:color w:val="000000"/>
          <w:szCs w:val="22"/>
        </w:rPr>
      </w:pPr>
      <w:r>
        <w:rPr>
          <w:rFonts w:cs="Times New Roman" w:ascii="Times New Roman" w:hAnsi="Times New Roman"/>
        </w:rPr>
        <w:t xml:space="preserve">12. </w:t>
      </w:r>
      <w:r>
        <w:rPr>
          <w:rFonts w:ascii="Times New Roman" w:hAnsi="Times New Roman"/>
          <w:color w:val="000000"/>
          <w:szCs w:val="22"/>
        </w:rPr>
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% (</w:t>
      </w:r>
      <w:r>
        <w:rPr>
          <w:rFonts w:ascii="Times New Roman" w:hAnsi="Times New Roman"/>
          <w:color w:val="000000"/>
          <w:szCs w:val="22"/>
          <w:lang w:val="en-US"/>
        </w:rPr>
        <w:t>F</w:t>
      </w:r>
      <w:r>
        <w:rPr>
          <w:rFonts w:ascii="Times New Roman" w:hAnsi="Times New Roman"/>
          <w:color w:val="000000"/>
          <w:szCs w:val="22"/>
          <w:vertAlign w:val="subscript"/>
        </w:rPr>
        <w:t>ООИСП</w:t>
      </w:r>
      <w:r>
        <w:rPr>
          <w:rFonts w:ascii="Times New Roman" w:hAnsi="Times New Roman"/>
          <w:color w:val="000000"/>
          <w:szCs w:val="22"/>
        </w:rPr>
        <w:t>):</w:t>
      </w:r>
    </w:p>
    <w:p>
      <w:pPr>
        <w:pStyle w:val="ConsPlusNormal"/>
        <w:spacing w:before="220" w:after="0"/>
        <w:ind w:firstLine="540"/>
        <w:jc w:val="center"/>
        <w:rPr>
          <w:rFonts w:ascii="Times New Roman" w:hAnsi="Times New Roman" w:cs="Times New Roman"/>
          <w:szCs w:val="22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F</m:t>
              </m:r>
            </m:e>
            <m:sub>
              <m:r>
                <w:rPr>
                  <w:rFonts w:ascii="Cambria Math" w:hAnsi="Cambria Math"/>
                </w:rPr>
                <m:t xml:space="preserve">ООИСП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r>
                <w:rPr>
                  <w:rFonts w:ascii="Cambria Math" w:hAnsi="Cambria Math"/>
                </w:rPr>
                <m:t xml:space="preserve">X</m:t>
              </m:r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Y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всего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×</m:t>
          </m:r>
          <m:r>
            <w:rPr>
              <w:rFonts w:ascii="Cambria Math" w:hAnsi="Cambria Math"/>
            </w:rPr>
            <m:t xml:space="preserve">100</m:t>
          </m:r>
          <m:r>
            <m:rPr>
              <m:lit/>
              <m:nor/>
            </m:rPr>
            <w:rPr>
              <w:rFonts w:ascii="Cambria Math" w:hAnsi="Cambria Math"/>
            </w:rPr>
            <m:t xml:space="preserve">%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  <m:r>
            <w:rPr>
              <w:rFonts w:ascii="Cambria Math" w:hAnsi="Cambria Math"/>
            </w:rPr>
            <m:t xml:space="preserve">:</m:t>
          </m:r>
        </m:oMath>
      </m:oMathPara>
    </w:p>
    <w:p>
      <w:pPr>
        <w:pStyle w:val="22"/>
        <w:shd w:val="clear" w:color="auto" w:fill="auto"/>
        <w:spacing w:lineRule="auto" w:line="240" w:before="220" w:after="0"/>
        <w:ind w:firstLine="539"/>
        <w:jc w:val="both"/>
        <w:rPr>
          <w:sz w:val="22"/>
          <w:szCs w:val="22"/>
        </w:rPr>
      </w:pPr>
      <w:r>
        <w:rPr>
          <w:sz w:val="22"/>
          <w:szCs w:val="22"/>
          <w:lang w:val="en-US" w:bidi="en-US"/>
        </w:rPr>
        <w:t>X</w:t>
      </w:r>
      <w:r>
        <w:rPr>
          <w:sz w:val="22"/>
          <w:szCs w:val="22"/>
          <w:lang w:bidi="en-US"/>
        </w:rPr>
        <w:t xml:space="preserve"> </w:t>
      </w:r>
      <w:r>
        <w:rPr>
          <w:sz w:val="22"/>
          <w:szCs w:val="22"/>
        </w:rPr>
        <w:t>- число образовательных организаций, реализующих программы общего образования, в которых не менее 50% обучающихся и не менее 50% педагогических работников используют сервисы федеральной информационно-сервисной платформы цифровой образовательной среды, единиц;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Cs w:val="22"/>
          <w:lang w:val="en-US" w:eastAsia="en-US" w:bidi="en-US"/>
        </w:rPr>
        <w:t>Y</w:t>
      </w:r>
      <w:r>
        <w:rPr>
          <w:rFonts w:cs="Times New Roman" w:ascii="Times New Roman" w:hAnsi="Times New Roman"/>
          <w:szCs w:val="22"/>
          <w:vertAlign w:val="subscript"/>
        </w:rPr>
        <w:t>всего</w:t>
      </w:r>
      <w:r>
        <w:rPr>
          <w:rFonts w:cs="Times New Roman" w:ascii="Times New Roman" w:hAnsi="Times New Roman"/>
          <w:szCs w:val="22"/>
        </w:rPr>
        <w:t xml:space="preserve"> – общее количество образовательных организаций в соответствии с формой № 00-1 за отчетный период, единиц.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/>
          <w:color w:val="000000"/>
          <w:szCs w:val="22"/>
        </w:rPr>
      </w:pPr>
      <w:r>
        <w:rPr>
          <w:rFonts w:cs="Times New Roman" w:ascii="Times New Roman" w:hAnsi="Times New Roman"/>
        </w:rPr>
        <w:t xml:space="preserve">13. </w:t>
      </w:r>
      <w:r>
        <w:rPr>
          <w:rFonts w:ascii="Times New Roman" w:hAnsi="Times New Roman"/>
          <w:color w:val="000000"/>
          <w:szCs w:val="22"/>
        </w:rPr>
        <w:t>Численность граждан, охваченных деятельностью Центров опережающей профессиональной подготовки, нарастающим итогом.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Источником информации являются данные отчета субъекта в ГИИС «Электронный бюджет».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/>
          <w:color w:val="000000"/>
          <w:szCs w:val="22"/>
        </w:rPr>
      </w:pPr>
      <w:r>
        <w:rPr>
          <w:rFonts w:cs="Times New Roman" w:ascii="Times New Roman" w:hAnsi="Times New Roman"/>
        </w:rPr>
        <w:t xml:space="preserve">14. </w:t>
      </w:r>
      <w:r>
        <w:rPr>
          <w:rFonts w:ascii="Times New Roman" w:hAnsi="Times New Roman"/>
          <w:color w:val="000000"/>
          <w:szCs w:val="22"/>
        </w:rPr>
        <w:t>Доля выпускников образовательных организаций, реализующих программы среднего профессионального образования, занятых по виду деятельности и полученным компетенциям, %(</w:t>
      </w:r>
      <w:r>
        <w:rPr/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З</m:t>
            </m:r>
          </m:e>
          <m:sub>
            <m:r>
              <w:rPr>
                <w:rFonts w:ascii="Cambria Math" w:hAnsi="Cambria Math"/>
              </w:rPr>
              <m:t xml:space="preserve">спо</m:t>
            </m:r>
          </m:sub>
          <m:sup>
            <m:r>
              <w:rPr>
                <w:rFonts w:ascii="Cambria Math" w:hAnsi="Cambria Math"/>
              </w:rPr>
              <m:t xml:space="preserve">t</m:t>
            </m:r>
          </m:sup>
        </m:sSubSup>
      </m:oMath>
      <w:r>
        <w:rPr>
          <w:rFonts w:cs="Times New Roman" w:ascii="Times New Roman" w:hAnsi="Times New Roman"/>
          <w:szCs w:val="22"/>
        </w:rPr>
        <w:t>):</w:t>
      </w:r>
    </w:p>
    <w:p>
      <w:pPr>
        <w:pStyle w:val="ConsPlusNormal"/>
        <w:spacing w:before="220" w:after="0"/>
        <w:ind w:firstLine="540"/>
        <w:jc w:val="center"/>
        <w:rPr>
          <w:rFonts w:ascii="Times New Roman" w:hAnsi="Times New Roman" w:cs="Times New Roman"/>
          <w:i/>
          <w:i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Sup>
            <m:e>
              <m:r>
                <w:rPr>
                  <w:rFonts w:ascii="Cambria Math" w:hAnsi="Cambria Math"/>
                </w:rPr>
                <m:t xml:space="preserve">З</m:t>
              </m:r>
            </m:e>
            <m:sub>
              <m:r>
                <w:rPr>
                  <w:rFonts w:ascii="Cambria Math" w:hAnsi="Cambria Math"/>
                </w:rPr>
                <m:t xml:space="preserve">СПО</m:t>
              </m:r>
            </m:sub>
            <m:sup>
              <m:r>
                <w:rPr>
                  <w:rFonts w:ascii="Cambria Math" w:hAnsi="Cambria Math"/>
                </w:rPr>
                <m:t xml:space="preserve">t</m:t>
              </m:r>
            </m:sup>
          </m:sSubSup>
          <m:r>
            <w:rPr>
              <w:rFonts w:ascii="Cambria Math" w:hAnsi="Cambria Math"/>
            </w:rPr>
            <m:t xml:space="preserve">=</m:t>
          </m:r>
          <m:f>
            <m:num>
              <m:sSubSup>
                <m:e>
                  <m:r>
                    <w:rPr>
                      <w:rFonts w:ascii="Cambria Math" w:hAnsi="Cambria Math"/>
                    </w:rPr>
                    <m:t xml:space="preserve">Т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СПО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t</m:t>
                  </m:r>
                </m:sup>
              </m:sSubSup>
              <m:r>
                <w:rPr>
                  <w:rFonts w:ascii="Cambria Math" w:hAnsi="Cambria Math"/>
                </w:rPr>
                <m:t xml:space="preserve">+</m:t>
              </m:r>
              <m:sSubSup>
                <m:e>
                  <m:r>
                    <w:rPr>
                      <w:rFonts w:ascii="Cambria Math" w:hAnsi="Cambria Math"/>
                    </w:rPr>
                    <m:t xml:space="preserve">И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СПО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t</m:t>
                  </m:r>
                </m:sup>
              </m:sSubSup>
              <m:r>
                <w:rPr>
                  <w:rFonts w:ascii="Cambria Math" w:hAnsi="Cambria Math"/>
                </w:rPr>
                <m:t xml:space="preserve">+</m:t>
              </m:r>
              <m:sSubSup>
                <m:e>
                  <m:r>
                    <w:rPr>
                      <w:rFonts w:ascii="Cambria Math" w:hAnsi="Cambria Math"/>
                    </w:rPr>
                    <m:t xml:space="preserve">С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СПО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t</m:t>
                  </m:r>
                </m:sup>
              </m:sSubSup>
            </m:num>
            <m:den>
              <m:sSubSup>
                <m:e>
                  <m:r>
                    <w:rPr>
                      <w:rFonts w:ascii="Cambria Math" w:hAnsi="Cambria Math"/>
                    </w:rPr>
                    <m:t xml:space="preserve">В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СПО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t</m:t>
                  </m:r>
                  <m:r>
                    <w:rPr>
                      <w:rFonts w:ascii="Cambria Math" w:hAnsi="Cambria Math"/>
                    </w:rPr>
                    <m:t xml:space="preserve">−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</m:sup>
              </m:sSubSup>
              <m:r>
                <w:rPr>
                  <w:rFonts w:ascii="Cambria Math" w:hAnsi="Cambria Math"/>
                </w:rPr>
                <m:t xml:space="preserve">−</m:t>
              </m:r>
              <m:sSubSup>
                <m:e>
                  <m:r>
                    <w:rPr>
                      <w:rFonts w:ascii="Cambria Math" w:hAnsi="Cambria Math"/>
                    </w:rPr>
                    <m:t xml:space="preserve">В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СПО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t</m:t>
                  </m:r>
                </m:sup>
              </m:sSubSup>
            </m:den>
          </m:f>
          <m:r>
            <w:rPr>
              <w:rFonts w:ascii="Cambria Math" w:hAnsi="Cambria Math"/>
            </w:rPr>
            <m:t xml:space="preserve">×</m:t>
          </m:r>
          <m:r>
            <w:rPr>
              <w:rFonts w:ascii="Cambria Math" w:hAnsi="Cambria Math"/>
            </w:rPr>
            <m:t xml:space="preserve">100</m:t>
          </m:r>
          <m:r>
            <m:rPr>
              <m:lit/>
              <m:nor/>
            </m:rPr>
            <w:rPr>
              <w:rFonts w:ascii="Cambria Math" w:hAnsi="Cambria Math"/>
            </w:rPr>
            <m:t xml:space="preserve">%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  <m:r>
            <w:rPr>
              <w:rFonts w:ascii="Cambria Math" w:hAnsi="Cambria Math"/>
            </w:rPr>
            <m:t xml:space="preserve">:</m:t>
          </m:r>
        </m:oMath>
      </m:oMathPara>
    </w:p>
    <w:p>
      <w:pPr>
        <w:pStyle w:val="22"/>
        <w:shd w:val="clear" w:color="auto" w:fill="auto"/>
        <w:spacing w:lineRule="auto" w:line="240" w:before="220" w:after="0"/>
        <w:ind w:firstLine="539"/>
        <w:jc w:val="both"/>
        <w:rPr>
          <w:sz w:val="22"/>
          <w:szCs w:val="22"/>
        </w:rPr>
      </w:pPr>
      <w:r>
        <w:rPr/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Т</m:t>
            </m:r>
          </m:e>
          <m:sub>
            <m:r>
              <w:rPr>
                <w:rFonts w:ascii="Cambria Math" w:hAnsi="Cambria Math"/>
              </w:rPr>
              <m:t xml:space="preserve">спо</m:t>
            </m:r>
          </m:sub>
          <m:sup>
            <m:r>
              <w:rPr>
                <w:rFonts w:ascii="Cambria Math" w:hAnsi="Cambria Math"/>
              </w:rPr>
              <m:t xml:space="preserve">t</m:t>
            </m:r>
          </m:sup>
        </m:sSubSup>
      </m:oMath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численность трудоустроившихся в течение календарного года </w:t>
      </w:r>
      <w:r>
        <w:rPr>
          <w:rStyle w:val="21"/>
          <w:sz w:val="22"/>
          <w:szCs w:val="22"/>
        </w:rPr>
        <w:t>t</w:t>
      </w:r>
      <w:r>
        <w:rPr>
          <w:rStyle w:val="21"/>
          <w:sz w:val="22"/>
          <w:szCs w:val="22"/>
          <w:lang w:val="ru-RU"/>
        </w:rPr>
        <w:t xml:space="preserve">, </w:t>
      </w:r>
      <w:r>
        <w:rPr>
          <w:sz w:val="22"/>
          <w:szCs w:val="22"/>
        </w:rPr>
        <w:t>следующего за годом выпуска, выпускников образовательных организаций, обучавшихся по образовательным программам среднего профессионального образования, чел.;</w:t>
      </w:r>
    </w:p>
    <w:p>
      <w:pPr>
        <w:pStyle w:val="22"/>
        <w:shd w:val="clear" w:color="auto" w:fill="auto"/>
        <w:spacing w:lineRule="auto" w:line="240" w:before="220" w:after="0"/>
        <w:ind w:firstLine="539"/>
        <w:jc w:val="both"/>
        <w:rPr>
          <w:sz w:val="22"/>
          <w:szCs w:val="22"/>
        </w:rPr>
      </w:pPr>
      <w:r>
        <w:rPr/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спо</m:t>
            </m:r>
          </m:sub>
          <m:sup>
            <m:r>
              <w:rPr>
                <w:rFonts w:ascii="Cambria Math" w:hAnsi="Cambria Math"/>
              </w:rPr>
              <m:t xml:space="preserve">t</m:t>
            </m:r>
          </m:sup>
        </m:sSubSup>
      </m:oMath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численность выпускников, являющихся действующими предпринимателями в году </w:t>
      </w:r>
      <w:r>
        <w:rPr>
          <w:rStyle w:val="21"/>
          <w:sz w:val="22"/>
          <w:szCs w:val="22"/>
        </w:rPr>
        <w:t>t</w:t>
      </w:r>
      <w:r>
        <w:rPr>
          <w:rStyle w:val="21"/>
          <w:sz w:val="22"/>
          <w:szCs w:val="22"/>
          <w:lang w:val="ru-RU"/>
        </w:rPr>
        <w:t>,</w:t>
      </w:r>
      <w:r>
        <w:rPr>
          <w:sz w:val="22"/>
          <w:szCs w:val="22"/>
          <w:lang w:bidi="en-US"/>
        </w:rPr>
        <w:t xml:space="preserve"> </w:t>
      </w:r>
      <w:r>
        <w:rPr>
          <w:sz w:val="22"/>
          <w:szCs w:val="22"/>
        </w:rPr>
        <w:t>чел.;</w:t>
      </w:r>
    </w:p>
    <w:p>
      <w:pPr>
        <w:pStyle w:val="22"/>
        <w:shd w:val="clear" w:color="auto" w:fill="auto"/>
        <w:spacing w:lineRule="auto" w:line="240" w:before="220" w:after="0"/>
        <w:ind w:firstLine="539"/>
        <w:jc w:val="both"/>
        <w:rPr>
          <w:sz w:val="22"/>
          <w:szCs w:val="22"/>
        </w:rPr>
      </w:pPr>
      <w:r>
        <w:rPr/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В</m:t>
            </m:r>
          </m:e>
          <m:sub>
            <m:r>
              <w:rPr>
                <w:rFonts w:ascii="Cambria Math" w:hAnsi="Cambria Math"/>
              </w:rPr>
              <m:t xml:space="preserve">спо</m:t>
            </m:r>
          </m:sub>
          <m:sup>
            <m:r>
              <w:rPr>
                <w:rFonts w:ascii="Cambria Math" w:hAnsi="Cambria Math"/>
              </w:rPr>
              <m:t xml:space="preserve">t</m:t>
            </m:r>
          </m:sup>
        </m:sSubSup>
      </m:oMath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численность выпускников, являющихся самозанятыми в год </w:t>
      </w:r>
      <w:r>
        <w:rPr>
          <w:rStyle w:val="21"/>
          <w:sz w:val="22"/>
          <w:szCs w:val="22"/>
        </w:rPr>
        <w:t>t</w:t>
      </w:r>
      <w:r>
        <w:rPr>
          <w:rStyle w:val="21"/>
          <w:sz w:val="22"/>
          <w:szCs w:val="22"/>
          <w:lang w:val="ru-RU"/>
        </w:rPr>
        <w:t>,</w:t>
      </w:r>
      <w:r>
        <w:rPr>
          <w:sz w:val="22"/>
          <w:szCs w:val="22"/>
          <w:lang w:bidi="en-US"/>
        </w:rPr>
        <w:t xml:space="preserve"> </w:t>
      </w:r>
      <w:r>
        <w:rPr>
          <w:sz w:val="22"/>
          <w:szCs w:val="22"/>
        </w:rPr>
        <w:t>чел.;</w:t>
      </w:r>
    </w:p>
    <w:p>
      <w:pPr>
        <w:pStyle w:val="22"/>
        <w:shd w:val="clear" w:color="auto" w:fill="auto"/>
        <w:spacing w:lineRule="auto" w:line="240" w:before="220" w:after="0"/>
        <w:ind w:firstLine="539"/>
        <w:jc w:val="both"/>
        <w:rPr>
          <w:sz w:val="22"/>
          <w:szCs w:val="22"/>
        </w:rPr>
      </w:pPr>
      <w:r>
        <w:rPr/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В</m:t>
            </m:r>
          </m:e>
          <m:sub>
            <m:r>
              <w:rPr>
                <w:rFonts w:ascii="Cambria Math" w:hAnsi="Cambria Math"/>
              </w:rPr>
              <m:t xml:space="preserve">спо</m:t>
            </m:r>
          </m:sub>
          <m:sup>
            <m:r>
              <w:rPr>
                <w:rFonts w:ascii="Cambria Math" w:hAnsi="Cambria Math"/>
              </w:rPr>
              <m:t xml:space="preserve">t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1</m:t>
            </m:r>
          </m:sup>
        </m:sSubSup>
      </m:oMath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общая численность выпускников образовательных организаций, обучавшихся по образовательным программам среднего профессионального образования, завершивших обучение в </w:t>
      </w:r>
      <w:r>
        <w:rPr>
          <w:rStyle w:val="21"/>
          <w:sz w:val="22"/>
          <w:szCs w:val="22"/>
        </w:rPr>
        <w:t>t</w:t>
      </w:r>
      <w:r>
        <w:rPr>
          <w:rStyle w:val="21"/>
          <w:sz w:val="22"/>
          <w:szCs w:val="22"/>
          <w:lang w:val="ru-RU"/>
        </w:rPr>
        <w:t>-1</w:t>
      </w:r>
      <w:r>
        <w:rPr>
          <w:sz w:val="22"/>
          <w:szCs w:val="22"/>
          <w:lang w:bidi="en-US"/>
        </w:rPr>
        <w:t xml:space="preserve"> </w:t>
      </w:r>
      <w:r>
        <w:rPr>
          <w:sz w:val="22"/>
          <w:szCs w:val="22"/>
        </w:rPr>
        <w:t>году, чел.;</w:t>
      </w:r>
    </w:p>
    <w:p>
      <w:pPr>
        <w:pStyle w:val="ConsPlusNormal"/>
        <w:spacing w:before="220" w:after="0"/>
        <w:ind w:firstLine="539"/>
        <w:jc w:val="both"/>
        <w:rPr>
          <w:rFonts w:ascii="Times New Roman" w:hAnsi="Times New Roman" w:cs="Times New Roman"/>
          <w:szCs w:val="22"/>
        </w:rPr>
      </w:pPr>
      <w:r>
        <w:rPr/>
      </w:r>
      <m:oMath xmlns:m="http://schemas.openxmlformats.org/officeDocument/2006/math">
        <m:sSubSup>
          <m:e>
            <m:r>
              <w:rPr>
                <w:rFonts w:ascii="Cambria Math" w:hAnsi="Cambria Math"/>
              </w:rPr>
              <m:t xml:space="preserve">В</m:t>
            </m:r>
          </m:e>
          <m:sub>
            <m:r>
              <w:rPr>
                <w:rFonts w:ascii="Cambria Math" w:hAnsi="Cambria Math"/>
              </w:rPr>
              <m:t xml:space="preserve">спо</m:t>
            </m:r>
          </m:sub>
          <m:sup>
            <m:r>
              <w:rPr>
                <w:rFonts w:ascii="Cambria Math" w:hAnsi="Cambria Math"/>
              </w:rPr>
              <m:t xml:space="preserve">t</m:t>
            </m:r>
          </m:sup>
        </m:sSubSup>
      </m:oMath>
      <w:r>
        <w:rPr>
          <w:rFonts w:cs="Times New Roman" w:ascii="Times New Roman" w:hAnsi="Times New Roman"/>
          <w:szCs w:val="22"/>
        </w:rPr>
        <w:t xml:space="preserve"> </w:t>
      </w:r>
      <w:r>
        <w:rPr>
          <w:rFonts w:cs="Times New Roman" w:ascii="Times New Roman" w:hAnsi="Times New Roman"/>
          <w:szCs w:val="22"/>
        </w:rPr>
        <w:t xml:space="preserve">-  - численность выпускников образовательных организаций, продолживших обучение по очной форме обучения в году </w:t>
      </w:r>
      <w:r>
        <w:rPr>
          <w:rStyle w:val="21"/>
          <w:sz w:val="22"/>
          <w:szCs w:val="22"/>
        </w:rPr>
        <w:t>t</w:t>
      </w:r>
      <w:r>
        <w:rPr>
          <w:rStyle w:val="21"/>
          <w:sz w:val="22"/>
          <w:szCs w:val="22"/>
          <w:lang w:val="ru-RU"/>
        </w:rPr>
        <w:t>,</w:t>
      </w:r>
      <w:r>
        <w:rPr>
          <w:rFonts w:cs="Times New Roman" w:ascii="Times New Roman" w:hAnsi="Times New Roman"/>
          <w:szCs w:val="22"/>
          <w:lang w:eastAsia="en-US" w:bidi="en-US"/>
        </w:rPr>
        <w:t xml:space="preserve"> </w:t>
      </w:r>
      <w:r>
        <w:rPr>
          <w:rFonts w:cs="Times New Roman" w:ascii="Times New Roman" w:hAnsi="Times New Roman"/>
          <w:szCs w:val="22"/>
        </w:rPr>
        <w:t>чел.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/>
          <w:color w:val="000000"/>
          <w:szCs w:val="22"/>
        </w:rPr>
      </w:pPr>
      <w:r>
        <w:rPr>
          <w:rFonts w:cs="Times New Roman" w:ascii="Times New Roman" w:hAnsi="Times New Roman"/>
        </w:rPr>
        <w:t xml:space="preserve">15. </w:t>
      </w:r>
      <w:r>
        <w:rPr>
          <w:rFonts w:ascii="Times New Roman" w:hAnsi="Times New Roman"/>
          <w:color w:val="000000"/>
          <w:szCs w:val="22"/>
        </w:rPr>
        <w:t>Доля обучающихся образовательных организаций, реализующих программы среднего профессионального образования, продемонстрировавших по итогам демонстрационного экзамена уровень, соответствующий национальным или международным стандартам, % (</w:t>
      </w:r>
      <w:r>
        <w:rPr>
          <w:rFonts w:ascii="Times New Roman" w:hAnsi="Times New Roman"/>
          <w:color w:val="000000"/>
          <w:szCs w:val="22"/>
          <w:lang w:val="en-US"/>
        </w:rPr>
        <w:t>F</w:t>
      </w:r>
      <w:r>
        <w:rPr>
          <w:rFonts w:ascii="Times New Roman" w:hAnsi="Times New Roman"/>
          <w:color w:val="000000"/>
          <w:szCs w:val="22"/>
          <w:vertAlign w:val="subscript"/>
        </w:rPr>
        <w:t>МТБ</w:t>
      </w:r>
      <w:r>
        <w:rPr>
          <w:rFonts w:ascii="Times New Roman" w:hAnsi="Times New Roman"/>
          <w:color w:val="000000"/>
          <w:szCs w:val="22"/>
        </w:rPr>
        <w:t>):</w:t>
      </w:r>
    </w:p>
    <w:p>
      <w:pPr>
        <w:pStyle w:val="ConsPlusNormal"/>
        <w:spacing w:before="220" w:after="0"/>
        <w:ind w:firstLine="540"/>
        <w:jc w:val="center"/>
        <w:rPr>
          <w:rFonts w:ascii="Times New Roman" w:hAnsi="Times New Roman" w:cs="Times New Roman"/>
          <w:szCs w:val="22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F</m:t>
              </m:r>
            </m:e>
            <m:sub>
              <m:r>
                <w:rPr>
                  <w:rFonts w:ascii="Cambria Math" w:hAnsi="Cambria Math"/>
                </w:rPr>
                <m:t xml:space="preserve">МТБ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Z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СТ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Z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все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×</m:t>
          </m:r>
          <m:r>
            <w:rPr>
              <w:rFonts w:ascii="Cambria Math" w:hAnsi="Cambria Math"/>
            </w:rPr>
            <m:t xml:space="preserve">100</m:t>
          </m:r>
          <m:r>
            <m:rPr>
              <m:lit/>
              <m:nor/>
            </m:rPr>
            <w:rPr>
              <w:rFonts w:ascii="Cambria Math" w:hAnsi="Cambria Math"/>
            </w:rPr>
            <m:t xml:space="preserve">%</m:t>
          </m:r>
          <m:r>
            <w:rPr>
              <w:rFonts w:ascii="Cambria Math" w:hAnsi="Cambria Math"/>
            </w:rPr>
            <m:t xml:space="preserve">,</m:t>
          </m:r>
          <m:r>
            <w:rPr>
              <w:rFonts w:ascii="Cambria Math" w:hAnsi="Cambria Math"/>
            </w:rPr>
            <m:t xml:space="preserve">где</m:t>
          </m:r>
          <m:r>
            <w:rPr>
              <w:rFonts w:ascii="Cambria Math" w:hAnsi="Cambria Math"/>
            </w:rPr>
            <m:t xml:space="preserve">:</m:t>
          </m:r>
        </m:oMath>
      </m:oMathPara>
    </w:p>
    <w:p>
      <w:pPr>
        <w:pStyle w:val="22"/>
        <w:shd w:val="clear" w:color="auto" w:fill="auto"/>
        <w:tabs>
          <w:tab w:val="clear" w:pos="708"/>
          <w:tab w:val="left" w:pos="4358" w:leader="none"/>
          <w:tab w:val="left" w:pos="6254" w:leader="none"/>
          <w:tab w:val="left" w:pos="8381" w:leader="none"/>
          <w:tab w:val="left" w:pos="12182" w:leader="none"/>
          <w:tab w:val="left" w:pos="15533" w:leader="none"/>
        </w:tabs>
        <w:spacing w:lineRule="auto" w:line="240" w:before="220" w:after="0"/>
        <w:ind w:firstLine="539"/>
        <w:jc w:val="both"/>
        <w:rPr>
          <w:sz w:val="22"/>
          <w:szCs w:val="22"/>
        </w:rPr>
      </w:pPr>
      <w:r>
        <w:rPr>
          <w:sz w:val="22"/>
          <w:szCs w:val="22"/>
          <w:lang w:val="en-US" w:bidi="en-US"/>
        </w:rPr>
        <w:t>Z</w:t>
      </w:r>
      <w:r>
        <w:rPr>
          <w:sz w:val="22"/>
          <w:szCs w:val="22"/>
          <w:vertAlign w:val="subscript"/>
          <w:lang w:bidi="en-US"/>
        </w:rPr>
        <w:t>ст</w:t>
      </w:r>
      <w:r>
        <w:rPr>
          <w:sz w:val="22"/>
          <w:szCs w:val="22"/>
          <w:lang w:bidi="en-US"/>
        </w:rPr>
        <w:t xml:space="preserve"> </w:t>
      </w:r>
      <w:r>
        <w:rPr>
          <w:sz w:val="22"/>
          <w:szCs w:val="22"/>
        </w:rPr>
        <w:t xml:space="preserve">- число </w:t>
      </w:r>
      <w:r>
        <w:rPr>
          <w:sz w:val="24"/>
          <w:szCs w:val="24"/>
        </w:rPr>
        <w:t>обучающихся, продемонстрировавших по итогам демонстрационного экзамена уровень, соответствующий национальным или международным стандартам в субъекте</w:t>
      </w:r>
      <w:r>
        <w:rPr>
          <w:sz w:val="22"/>
          <w:szCs w:val="22"/>
        </w:rPr>
        <w:t>, человек;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Cs w:val="22"/>
          <w:lang w:val="en-US" w:eastAsia="en-US" w:bidi="en-US"/>
        </w:rPr>
        <w:t>Z</w:t>
      </w:r>
      <w:r>
        <w:rPr>
          <w:rFonts w:cs="Times New Roman" w:ascii="Times New Roman" w:hAnsi="Times New Roman"/>
          <w:szCs w:val="22"/>
          <w:vertAlign w:val="subscript"/>
        </w:rPr>
        <w:t>все</w:t>
      </w:r>
      <w:r>
        <w:rPr>
          <w:rFonts w:cs="Times New Roman" w:ascii="Times New Roman" w:hAnsi="Times New Roman"/>
          <w:szCs w:val="22"/>
        </w:rPr>
        <w:t xml:space="preserve"> - общее число обучающихся по программам среднего профессионального образования в субъекте, человек.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16. Доступность дошкольного образования для детей в возрасте от полутора до трех лет, %. Определяется как отношение численности детей в возрасте от 1,5 до 3 лет, получающих дошкольное образование, к сумме численности детей в возрасте от 1,5 до 3 лет, получающих дошкольное образование, и численности детей в возрасте от 1,5 до 3 лет, находящихся в очереди на получение, по состоянию на 1 января года, следующего за отчетным.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является информационная система образовательных услуг "Виртуальная школа".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/>
          <w:color w:val="000000"/>
          <w:szCs w:val="22"/>
        </w:rPr>
      </w:pPr>
      <w:r>
        <w:rPr>
          <w:rFonts w:cs="Times New Roman" w:ascii="Times New Roman" w:hAnsi="Times New Roman"/>
        </w:rPr>
        <w:t xml:space="preserve">17. </w:t>
      </w:r>
      <w:r>
        <w:rPr>
          <w:rFonts w:ascii="Times New Roman" w:hAnsi="Times New Roman"/>
          <w:color w:val="000000"/>
          <w:szCs w:val="22"/>
        </w:rPr>
        <w:t>Количество дополнительно созданных мест с целью обеспечения дошкольным образованием детей в возрасте до 3 лет, (тысяча мест) нарастающим итогом.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являются фактические результаты реализации мероприятий региональной адресной инвестиционной программы Брянской области, утверждаемой постановлением Правительства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</w:rPr>
        <w:t xml:space="preserve">18. </w:t>
      </w:r>
      <w:r>
        <w:rPr>
          <w:rFonts w:ascii="Times New Roman" w:hAnsi="Times New Roman"/>
          <w:color w:val="000000"/>
          <w:szCs w:val="22"/>
        </w:rPr>
        <w:t>Среднее время ожидания места для получения дошкольного образования детьми в возрасте от 1,5 до 3 лет (месяц).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19. Соотношение средней заработной платы педагогических работников общеобразовательных организаций к средней заработной плате в регионе, % (Со):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504950" cy="428625"/>
            <wp:effectExtent l="0" t="0" r="0" b="0"/>
            <wp:docPr id="3" name="Рисунок 35" descr="base_23753_63431_32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5" descr="base_23753_63431_3276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F</w:t>
      </w:r>
      <w:r>
        <w:rPr>
          <w:rFonts w:cs="Times New Roman" w:ascii="Times New Roman" w:hAnsi="Times New Roman"/>
          <w:vertAlign w:val="subscript"/>
        </w:rPr>
        <w:t>по</w:t>
      </w:r>
      <w:r>
        <w:rPr>
          <w:rFonts w:cs="Times New Roman" w:ascii="Times New Roman" w:hAnsi="Times New Roman"/>
        </w:rPr>
        <w:t xml:space="preserve"> - средняя заработная плата педагогических работников общеобразовательных организаций (статистическая отчетность: форма "ЗП-образование");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 - средняя заработная плата в регионе.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20. Соотношение средней заработной платы педагогических работников организаций дополнительного образования детей к средней заработной плате учителей в регионе, % (С1):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685925" cy="457200"/>
            <wp:effectExtent l="0" t="0" r="0" b="0"/>
            <wp:docPr id="4" name="Рисунок 34" descr="base_23753_63431_32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4" descr="base_23753_63431_3277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F</w:t>
      </w:r>
      <w:r>
        <w:rPr>
          <w:rFonts w:cs="Times New Roman" w:ascii="Times New Roman" w:hAnsi="Times New Roman"/>
          <w:vertAlign w:val="subscript"/>
        </w:rPr>
        <w:t>пдоп</w:t>
      </w:r>
      <w:r>
        <w:rPr>
          <w:rFonts w:cs="Times New Roman" w:ascii="Times New Roman" w:hAnsi="Times New Roman"/>
        </w:rPr>
        <w:t xml:space="preserve"> - средняя заработная плата педагогических работников организаций дополнительного образования детей (статистическая отчетность: форма "ЗП-образование");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</w:t>
      </w:r>
      <w:r>
        <w:rPr>
          <w:rFonts w:cs="Times New Roman" w:ascii="Times New Roman" w:hAnsi="Times New Roman"/>
          <w:vertAlign w:val="subscript"/>
        </w:rPr>
        <w:t>у</w:t>
      </w:r>
      <w:r>
        <w:rPr>
          <w:rFonts w:cs="Times New Roman" w:ascii="Times New Roman" w:hAnsi="Times New Roman"/>
        </w:rPr>
        <w:t xml:space="preserve"> - средняя заработная плата учителей в регионе.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21. Соотношение средней заработной платы преподавателей и мастеров производственного обучения профессиональных образовательных организаций к средней заработной плате в регионе, % (С2):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790700" cy="428625"/>
            <wp:effectExtent l="0" t="0" r="0" b="0"/>
            <wp:docPr id="5" name="Рисунок 33" descr="base_23753_63431_32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33" descr="base_23753_63431_3277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F</w:t>
      </w:r>
      <w:r>
        <w:rPr>
          <w:rFonts w:cs="Times New Roman" w:ascii="Times New Roman" w:hAnsi="Times New Roman"/>
          <w:vertAlign w:val="subscript"/>
        </w:rPr>
        <w:t>ппроф</w:t>
      </w:r>
      <w:r>
        <w:rPr>
          <w:rFonts w:cs="Times New Roman" w:ascii="Times New Roman" w:hAnsi="Times New Roman"/>
        </w:rPr>
        <w:t xml:space="preserve"> - средняя заработная плата преподавателей и мастеров производственного обучения профессиональных образовательных организаций (статистическая отчетность: форма "ЗП-образование");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 - средняя заработная плата в регионе.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22. Соотношение средней заработной платы педагогических работников дошкольных образовательных организаций к средней заработной плате в сфере общего образования в регионе, % (С3):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733550" cy="457200"/>
            <wp:effectExtent l="0" t="0" r="0" b="0"/>
            <wp:docPr id="6" name="Рисунок 32" descr="base_23753_63431_32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32" descr="base_23753_63431_3277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F</w:t>
      </w:r>
      <w:r>
        <w:rPr>
          <w:rFonts w:cs="Times New Roman" w:ascii="Times New Roman" w:hAnsi="Times New Roman"/>
          <w:vertAlign w:val="subscript"/>
        </w:rPr>
        <w:t>пдош</w:t>
      </w:r>
      <w:r>
        <w:rPr>
          <w:rFonts w:cs="Times New Roman" w:ascii="Times New Roman" w:hAnsi="Times New Roman"/>
        </w:rPr>
        <w:t xml:space="preserve"> - средняя заработная плата педагогических работников дошкольных образовательных организаций (статистическая отчетность: форма "ЗП-образование");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 - средняя заработная плата в сфере общего образования в регионе (статистическая отчетность: форма "ЗП-образование").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23. 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местности, % (R):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581150" cy="447675"/>
            <wp:effectExtent l="0" t="0" r="0" b="0"/>
            <wp:docPr id="7" name="Рисунок 31" descr="base_23753_63431_32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31" descr="base_23753_63431_3277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R1 - количество педагогических работников образовательных организаций, получающих компенсацию расходов на оплату жилых помещений, отопления и освещения, работающих и проживающих в сельских населенных пунктах или поселках городского типа Брянской области;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Rобщ - общее количество педагогических работников образовательных организаций, работающих и проживающих в сельских населенных пунктах или поселках городского типа Брянской области (отчеты муниципальных образований, размещенные на сайте департамента образования и науки Брянской области (edu.debryansk.ru)).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24. Осуществление мер социальной поддержки, направленной на оказание материальной помощи детям-сиротам и детям, оставшимся без попечения родителей, студентам, детям из многодетных семей, и выплат стипендий для обучающихся в профессиональных образовательных организациях, % (Cg):</w:t>
      </w:r>
    </w:p>
    <w:p>
      <w:pPr>
        <w:pStyle w:val="ConsPlusNormal"/>
        <w:ind w:left="54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371600" cy="428625"/>
            <wp:effectExtent l="0" t="0" r="0" b="0"/>
            <wp:docPr id="8" name="Рисунок 30" descr="base_23753_63431_32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30" descr="base_23753_63431_3277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 - количество детей, получивших социальную поддержку;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 - количество детей, нуждающихся в социальной поддержке.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является мониторинг департамента образования и науки Брянской области, размещенный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25. Доля государственных учреждений, подведомственных департаменту образования и науки Брянской области, представивших энергетическую декларацию за отчетный год, от общего количества указанных учреждений Брянской области, %.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является модуль "Информация об энергосбережении и повышении энергетической эффективности" (dper.gisee.ru).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26. Охват общественными некоммерческими организациями обучающихся с целью оказания финансовой поддержки студентам вузов по возмещению до 50 процентов стоимости билетов междугородных маршрутов в выходные, праздничные и предпраздничные дни, % (Os):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428750" cy="428625"/>
            <wp:effectExtent l="0" t="0" r="0" b="0"/>
            <wp:docPr id="9" name="Рисунок 29" descr="base_23753_63431_32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29" descr="base_23753_63431_3277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Ei - количество иногородних студентов вузов, зарегистрированных на территории Брянской области, получивших финансовую поддержку общественных некоммерческих организаций за счет средств областного бюджета по возмещению до 50% стоимости билетов за проезд в автобусах междугородных маршрутов в выходные, предпраздничные и праздничные дни;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Ea - общее количество иногородних студентов вузов, зарегистрированных на территории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является мониторинг Брянской областной организации профсоюза работников народного образования и науки Российской Федерации, размещенный на сайте Брянской областной организации профсоюза работников народного образования и науки Российской Федерации (profobr32.ru).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27. Доля юридических лиц, в отношении которых органами государственного контроля (надзора) были проведены проверки (в общем количестве юридических лиц, осуществляющих деятельность на территории Российской Федерации, которая подлежит государственному контролю (надзору)), % (Дю):</w:t>
      </w:r>
    </w:p>
    <w:p>
      <w:pPr>
        <w:pStyle w:val="ConsPlusNormal"/>
        <w:ind w:left="54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590675" cy="428625"/>
            <wp:effectExtent l="0" t="0" r="0" b="0"/>
            <wp:docPr id="10" name="Рисунок 28" descr="base_23753_63431_32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28" descr="base_23753_63431_3277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Кп - количество юридических лиц, в отношении которых органами государственного контроля (надзора) были проведены проверки;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Кю - количество юридических лиц, осуществляющих деятельность на территории Российской Федерации, которая подлежит государственному контролю (надзору).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является мониторинг департамента образования и науки Брянской области, размещенный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28. Обеспеченность детей дошкольного возраста местами в дошкольных образовательных организациях, мест на 1000 человек (Ко):</w:t>
      </w:r>
    </w:p>
    <w:p>
      <w:pPr>
        <w:pStyle w:val="ConsPlusNormal"/>
        <w:ind w:left="54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466850" cy="447675"/>
            <wp:effectExtent l="0" t="0" r="0" b="0"/>
            <wp:docPr id="11" name="Рисунок 27" descr="base_23753_63431_32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27" descr="base_23753_63431_3277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Кд - количество детей, находящихся в дошкольных образовательных организациях (статистическая отчетность: формы N 85-К, N ОО-1);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Км - количество мест в дошкольных образовательных организациях (статистическая отчетность: форма N 85-К).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Информация о количестве детей, находящихся в дошкольных образовательных организациях, и о количестве мест в дошкольных образовательных организациях размещена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29. Доля обучающихся по программам общего образования, участвующих в олимпиадах и конкурсах различного уровня, % (Nд):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895475" cy="457200"/>
            <wp:effectExtent l="0" t="0" r="0" b="0"/>
            <wp:docPr id="12" name="Рисунок 26" descr="base_23753_63431_32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26" descr="base_23753_63431_3277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NодарО - количество обучающихся по программам общего образования, участвующих в олимпиадах и конкурсах различного уровня;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NучО - общее количество обучающихся по программам общего образования, человек (статистическая отчетность: формы № ОО-1).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Информация о проведении олимпиад и конкурсов размещается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30. Доля обучающихся по программам общего образования, участвующих во всероссийских и межрегиональных олимпиадах и конкурсах, % (NдО):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971675" cy="457200"/>
            <wp:effectExtent l="0" t="0" r="0" b="0"/>
            <wp:docPr id="13" name="Рисунок 25" descr="base_23753_63431_32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25" descr="base_23753_63431_3277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Nодар1 - количество обучающихся по программам общего образования, участвующих во всероссийских и межрегиональных олимпиадах и конкурсах;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Nуч1 - общее количество обучающихся по программам общего образования, человек (статистическая отчетность: формы № ОО-1).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Информация о проведении олимпиад и конкурсов размещается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31. Доля обучающихся по программам общего образования - призеров всероссийских и межрегиональных олимпиад и конкурсов от общего числа участников, представлявших Брянскую область, % (Dп):</w:t>
      </w:r>
    </w:p>
    <w:p>
      <w:pPr>
        <w:pStyle w:val="ConsPlusNormal"/>
        <w:ind w:left="540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809750" cy="447675"/>
            <wp:effectExtent l="0" t="0" r="0" b="0"/>
            <wp:docPr id="14" name="Рисунок 24" descr="base_23753_63431_32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24" descr="base_23753_63431_3278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Dc1 - количество обучающихся по программам общего образования - призеров всероссийских и межрегиональных олимпиад и конкурсов;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Dобщ1 - общая численность участников, представлявших Брянскую область.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Информация о результатах проведения олимпиад и конкурсов размещается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32. Доля выпускников государственных (муниципальных) общеобразовательных организаций, не получивших аттестат о среднем (полном) общем образовании, % (Vu):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590675" cy="428625"/>
            <wp:effectExtent l="0" t="0" r="0" b="0"/>
            <wp:docPr id="15" name="Рисунок 23" descr="base_23753_63431_32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23" descr="base_23753_63431_3278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Dn1 - количество выпускников государственных (муниципальных) общеобразовательных организаций, не получивших аттестат о среднем (полном) общем образовании;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Dv1 - общее количество выпускников государственных (муниципальных) общеобразовательных организаций (статистическая отчетность: формы № ОО-1).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является статистический отчет ГАУ "Брянский региональный центр обработки информации" "Результаты государственной итоговой аттестации по образовательным программам среднего общего образования в Брянской области", размещенный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33. Доля выпускников общеобразовательных организаций, получивших балл на едином государственном экзамене выше 80, в общей численности выпускников общеобразовательных организаций, % (Uv):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600200" cy="428625"/>
            <wp:effectExtent l="0" t="0" r="0" b="0"/>
            <wp:docPr id="16" name="Рисунок 22" descr="base_23753_63431_32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22" descr="base_23753_63431_3278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Dn2 - количество выпускников, получивших балл на едином государственном экзамене выше 80;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Dv2 - общее количество выпускников общеобразовательных организаций (статистическая отчетность: формы № ОО-1).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является статистический отчет ГАУ "Брянский региональный центр обработки информации" "Результаты государственной итоговой аттестации по образовательным программам среднего общего образования в Брянской области", размещенный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34. 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школ с худшими результатами единого государственного экзамена.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Показатель рассчитывается на основании методики, утвержденной Приказом Министерства образования и науки Российской Федерации от 11 июня 2014 года № 657 "Об утверждении методики расчета показателей мониторинга системы образования".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35. Доля обучающихся, получающих начальное общее образование в государственных и муниципальных образовательных организациях, получающих бесплатное горячее питание, к общему количеству обучающихся, получающих начальное общее образование в государственных и муниципальных образовательных организациях.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Источником информации являются отчеты государственных образовательных организаций и муниципальных образований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36. Доля выпускников профессиональных образовательных организаций, трудоустроившихся по полученной профессии (специальности) в первый год после завершения обучения, % (Дв):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733550" cy="447675"/>
            <wp:effectExtent l="0" t="0" r="0" b="0"/>
            <wp:docPr id="17" name="Рисунок 20" descr="base_23753_63431_32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20" descr="base_23753_63431_3278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Dвып - количество выпускников профессиональных образовательных организаций Брянской области, трудоустроившихся по полученной профессии (специальности) в первый год после завершения обучения;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Dобщ - общая численность выпускников государственных профессиональных образовательных организаций Брянской области (статистическая отчетность: форма № 2-НК, № СПО-1).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является мониторинг оценки деятельности учреждений среднего профессионального образования, размещенный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37. Доля обучающихся по программам профессионального образования, участвующих в олимпиадах и конкурсах различного уровня, % (DпО):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885950" cy="447675"/>
            <wp:effectExtent l="0" t="0" r="0" b="0"/>
            <wp:docPr id="18" name="Рисунок 19" descr="base_23753_63431_32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9" descr="base_23753_63431_3278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Dс2 - количество обучающихся по программам профессионального образования, участвующих в олимпиадах и конкурсах различного уровня (протокол проведения олимпиад профессионального мастерства среди обучающихся профессиональных образовательных организаций по профессиям);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Dобщ2 - общее количество обучающихся по программам профессионального образования (статистическая отчетность: формы № 2-НК, № СПО-1).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Информация о проведении олимпиад и конкурсов размещается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38. Доля обучающихся по программам профессионального образования, участвующих во всероссийских и межрегиональных олимпиадах и конкурсах, % (Nод):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885950" cy="457200"/>
            <wp:effectExtent l="0" t="0" r="0" b="0"/>
            <wp:docPr id="19" name="Рисунок 18" descr="base_23753_63431_32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8" descr="base_23753_63431_3278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Nодар2 - количество обучающихся по программам профессионального образования, участвующих во всероссийских и межрегиональных олимпиадах и конкурсах, человек;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Nуч2 - общее количество обучающихся по программам профессионального образования, человек (статистическая отчетность: формы № 2-НК, № СПО-1).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Информация о проведении олимпиад и конкурсов размещается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39. Доля обучающихся по программам профессионального образования - призеров всероссийских и межрегиональных олимпиад и конкурсов от общего числа участников, представлявших Брянскую область, % (Dпп):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847850" cy="447675"/>
            <wp:effectExtent l="0" t="0" r="0" b="0"/>
            <wp:docPr id="20" name="Рисунок 17" descr="base_23753_63431_32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17" descr="base_23753_63431_3278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Dп3 - количество обучающихся по программам профессионального образования - призеров всероссийских и межрегиональных олимпиад и конкурсов;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Dобщ3 - общая численность участников, представлявших Брянскую область.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Информация о результатах проведения олимпиад и конкурсов размещается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40. Доля учреждений профессионального образования, внедривших новые программы и модели профессионального образования, разработанные в рамках программы, в общем количестве учреждений профессионального образования на территории Брянской области, % (До):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524000" cy="457200"/>
            <wp:effectExtent l="0" t="0" r="0" b="0"/>
            <wp:docPr id="21" name="Рисунок 16" descr="base_23753_63431_32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16" descr="base_23753_63431_3278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До1 - количество учреждений профессионального образования, внедривших новые программы и модели профессионального образования;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До2 - общее количество учреждений профессионального образования.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является мониторинг департамента образования и науки Брянской области, размещенный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41. Доля общеобразовательных организаций, соответствующих современным требованиям обучения, в общем количестве общеобразовательных организаций, % (Д</w:t>
      </w:r>
      <w:r>
        <w:rPr>
          <w:rFonts w:cs="Times New Roman" w:ascii="Times New Roman" w:hAnsi="Times New Roman"/>
          <w:vertAlign w:val="subscript"/>
        </w:rPr>
        <w:t>о</w:t>
      </w:r>
      <w:r>
        <w:rPr>
          <w:rFonts w:cs="Times New Roman" w:ascii="Times New Roman" w:hAnsi="Times New Roman"/>
        </w:rPr>
        <w:t>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466850" cy="476250"/>
            <wp:effectExtent l="0" t="0" r="0" b="0"/>
            <wp:docPr id="22" name="Рисунок 10" descr="base_23753_63431_32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10" descr="base_23753_63431_3279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До</w:t>
      </w:r>
      <w:r>
        <w:rPr>
          <w:rFonts w:cs="Times New Roman" w:ascii="Times New Roman" w:hAnsi="Times New Roman"/>
          <w:vertAlign w:val="subscript"/>
        </w:rPr>
        <w:t>1</w:t>
      </w:r>
      <w:r>
        <w:rPr>
          <w:rFonts w:cs="Times New Roman" w:ascii="Times New Roman" w:hAnsi="Times New Roman"/>
        </w:rPr>
        <w:t xml:space="preserve"> - количество общеобразовательных организаций, соответствующих современным требованиям обучения;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До</w:t>
      </w:r>
      <w:r>
        <w:rPr>
          <w:rFonts w:cs="Times New Roman" w:ascii="Times New Roman" w:hAnsi="Times New Roman"/>
          <w:vertAlign w:val="subscript"/>
        </w:rPr>
        <w:t>2</w:t>
      </w:r>
      <w:r>
        <w:rPr>
          <w:rFonts w:cs="Times New Roman" w:ascii="Times New Roman" w:hAnsi="Times New Roman"/>
        </w:rPr>
        <w:t xml:space="preserve"> - общее количество общеобразовательных организаций.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Мониторинг количества общеобразовательных организаций, соответствующих современным требованиям обучения и общего количества общеобразовательных организаций, размещен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42. Доля общеобразовательных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общеобразовательных организаций, реализующих программы общего образования %, (Ys):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495425" cy="428625"/>
            <wp:effectExtent l="0" t="0" r="0" b="0"/>
            <wp:docPr id="23" name="Рисунок 9" descr="base_23753_63431_32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9" descr="base_23753_63431_3279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К1 - количество образовательных организаций, требующих капитального ремонта (источник информации: мониторинг технического состояния зданий и информация муниципальных образований);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К2 - общее количество образовательных организаций.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является мониторинг департамента образования и науки Брянской области, размещенный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43. Количество муниципальных образовательных организаций, в которых проведен капитальный ремонт кровель.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являются отчеты муниципальных образований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44. Количество муниципальных образовательных организаций, в которых проведена замена оконных блоков.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являются отчеты муниципальных образований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45. Доля общеобразовательных организаций, реализующих программы общего образования, имеющих физкультурный зал, в общей численности общеобразовательных организаций, реализующих программы общего образования, % (Si):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666875" cy="447675"/>
            <wp:effectExtent l="0" t="0" r="0" b="0"/>
            <wp:docPr id="24" name="Рисунок 8" descr="base_23753_63431_32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8" descr="base_23753_63431_3279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Кфз - количество образовательных организаций, реализующих программы общего образования, имеющих физкультурный зал (статистическая отчетность: формы № Д-4, № ОО-2);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Кобщ - общее количество образовательных организаций, реализующих программы общего образования (статистическая отчетность: формы № Д-4, № ОО-2).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является мониторинг департамента образования и науки Брянской области, размещенный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46. Доля учителей и руководителей общеобразовательных организаций, прошедших 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стандартами, % (Dу):</w:t>
      </w:r>
    </w:p>
    <w:p>
      <w:pPr>
        <w:pStyle w:val="ConsPlusNormal"/>
        <w:spacing w:before="220" w:after="0"/>
        <w:ind w:firstLine="540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457325" cy="428625"/>
            <wp:effectExtent l="0" t="0" r="0" b="0"/>
            <wp:docPr id="25" name="Рисунок 38" descr="base_23753_63431_32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38" descr="base_23753_63431_3279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V - количество учителей и руководителей общеобразовательных организаций, прошедших повышение квалификации и (или) профессиональную переподготовку для работы в соответствии с ФГОС (статистическая отчетность: формы № ОО-1);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 - общая численность руководителей и учителей общеобразовательных организаций (статистическая отчетность: формы № ОО-1).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Информация о количестве учителей и руководителей общеобразовательных организаций, прошедших повышение квалификации и (или) профессиональную переподготовку для работы в соответствии с ФГОС, размещена на сайте Брянского института повышения квалификации работников образования (bipkro.ru).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47. Удельный вес численности учителей общеобразовательных организаций в возрасте до 35 лет в общей численности учителей общеобразовательных организаций, % (Qz):</w:t>
      </w:r>
    </w:p>
    <w:p>
      <w:pPr>
        <w:pStyle w:val="ConsPlusNormal"/>
        <w:spacing w:before="220" w:after="0"/>
        <w:ind w:firstLine="540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466850" cy="428625"/>
            <wp:effectExtent l="0" t="0" r="0" b="0"/>
            <wp:docPr id="26" name="Рисунок 37" descr="base_23753_63431_32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Рисунок 37" descr="base_23753_63431_3279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Hz - количество учителей общеобразовательных организаций в возрасте до 35 лет;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Fz - общее количество учителей общеобразовательных организаций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являются формы федерального статистического наблюдения № ОО-1.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48.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являются отчеты муниципальных образований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49. Количество учителей, которым предоставлены единовременные компенсационные выплаты, человек.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является отчет департамента образования и науки Брянской области о достижении результатов использования субсидии.</w:t>
      </w:r>
    </w:p>
    <w:p>
      <w:pPr>
        <w:pStyle w:val="Normal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</w:rPr>
        <w:t xml:space="preserve">50. </w:t>
      </w:r>
      <w:r>
        <w:rPr>
          <w:rFonts w:cs="Times New Roman" w:ascii="Times New Roman" w:hAnsi="Times New Roman"/>
          <w:color w:val="000000"/>
        </w:rPr>
        <w:t>Количество предоставленных выплат ежемесячного денежного вознаграждения за классное руководство (кураторство) педагогическим работникам образовательных организаций, в общем количестве запланированных таких выплат.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Источником информации является отчет департамента образования и науки Брянской области о достижении результата предоставления иного межбюджетного трансферта.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51. Количество стипендиатов именных стипендий Брянской областной Думы и Правительства Брянской области для одаренных детей и молодежи, человек.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о количестве стипендиатов именных стипендий Брянской областной Думы и Правительства Брянской области для одаренных детей и молодежи является фактическое назначение стипендиатов в соответствии с ежегодно утверждаемым постановлением Правительства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52. Удельный вес детей школьного возраста, охваченных всеми формами оздоровления, % (Мz):</w:t>
      </w:r>
    </w:p>
    <w:p>
      <w:pPr>
        <w:pStyle w:val="ConsPlusNormal"/>
        <w:spacing w:before="220" w:after="0"/>
        <w:ind w:firstLine="540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638300" cy="428625"/>
            <wp:effectExtent l="0" t="0" r="0" b="0"/>
            <wp:docPr id="27" name="Рисунок 39" descr="base_23753_63431_32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Рисунок 39" descr="base_23753_63431_3280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Мoz3 - количество детей школьного возраста, охваченных всеми формами оздоровления;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Мbr3 - количество детей школьного возраста, проживающих в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является мониторинг департамента образования и науки Брянской области и мониторинг Минсоцразвития России (формы № 1, 2), размещенные на сайте департамента образования и науки Брянской области (edu.debryansk.ru).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53</w:t>
      </w:r>
      <w:bookmarkStart w:id="0" w:name="_GoBack"/>
      <w:bookmarkEnd w:id="0"/>
      <w:r>
        <w:rPr>
          <w:rFonts w:cs="Times New Roman" w:ascii="Times New Roman" w:hAnsi="Times New Roman"/>
        </w:rPr>
        <w:t>. Обеспечение питанием детей, отдыхающих в лагерях с дневным пребыванием, %.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являются данные фактического мониторинга департамента образования и науки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54. </w:t>
      </w:r>
      <w:r>
        <w:rPr>
          <w:rFonts w:cs="Times New Roman" w:ascii="Times New Roman" w:hAnsi="Times New Roman"/>
          <w:color w:val="000000"/>
          <w:szCs w:val="24"/>
        </w:rPr>
        <w:t>Количество детей, охваченных  дополнительным образованием по физике, математике,  информатике в центрах технического образования, человек</w:t>
      </w:r>
      <w:r>
        <w:rPr>
          <w:rFonts w:cs="Times New Roman" w:ascii="Times New Roman" w:hAnsi="Times New Roman"/>
        </w:rPr>
        <w:t>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являются данные фактического мониторинга департамента образования и науки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55. Количество специалистов, прошедших повышение квалификации по физике, математике, информатике, человек.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являются данные фактического мониторинга департамента образования и науки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56. </w:t>
      </w:r>
      <w:r>
        <w:rPr>
          <w:rFonts w:cs="Times New Roman" w:ascii="Times New Roman" w:hAnsi="Times New Roman"/>
          <w:color w:val="000000"/>
          <w:szCs w:val="24"/>
        </w:rPr>
        <w:t>Количество учащихся, выбравших итоговую аттестацию  по физике, математике (профильной), информатике, человек.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являются данные фактического мониторинга департамента образования и науки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57. </w:t>
      </w:r>
      <w:r>
        <w:rPr>
          <w:rFonts w:cs="Times New Roman" w:ascii="Times New Roman" w:hAnsi="Times New Roman"/>
          <w:color w:val="000000"/>
          <w:szCs w:val="24"/>
        </w:rPr>
        <w:t xml:space="preserve">Количество базовых кафедр, созданных на предприятиях, </w:t>
      </w:r>
      <w:r>
        <w:rPr>
          <w:rFonts w:cs="Times New Roman" w:ascii="Times New Roman" w:hAnsi="Times New Roman"/>
        </w:rPr>
        <w:t>единица, нарастающим итогом</w:t>
      </w:r>
      <w:r>
        <w:rPr>
          <w:rFonts w:cs="Times New Roman" w:ascii="Times New Roman" w:hAnsi="Times New Roman"/>
          <w:color w:val="000000"/>
          <w:szCs w:val="24"/>
        </w:rPr>
        <w:t>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являются данные фактического мониторинга департамента образования и науки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58. </w:t>
      </w:r>
      <w:r>
        <w:rPr>
          <w:rFonts w:cs="Times New Roman" w:ascii="Times New Roman" w:hAnsi="Times New Roman"/>
          <w:color w:val="000000"/>
          <w:szCs w:val="24"/>
        </w:rPr>
        <w:t xml:space="preserve">Количество промышленных предприятий, вовлеченных в сотрудничество по реализации программы, </w:t>
      </w:r>
      <w:r>
        <w:rPr>
          <w:rFonts w:cs="Times New Roman" w:ascii="Times New Roman" w:hAnsi="Times New Roman"/>
        </w:rPr>
        <w:t>единица, нарастающим итогом</w:t>
      </w:r>
      <w:r>
        <w:rPr>
          <w:rFonts w:cs="Times New Roman" w:ascii="Times New Roman" w:hAnsi="Times New Roman"/>
          <w:color w:val="000000"/>
          <w:szCs w:val="24"/>
        </w:rPr>
        <w:t>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Источником информации являются данные фактического мониторинга департамента образования и науки Брянской области.</w:t>
      </w:r>
    </w:p>
    <w:sectPr>
      <w:footerReference w:type="default" r:id="rId29"/>
      <w:type w:val="nextPage"/>
      <w:pgSz w:w="11906" w:h="16838"/>
      <w:pgMar w:left="1701" w:right="851" w:header="0" w:top="851" w:footer="134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164982273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</w:sdtContent>
  </w:sdt>
  <w:p>
    <w:pPr>
      <w:pStyle w:val="Style24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e623c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0"/>
    <w:qFormat/>
    <w:rsid w:val="00b84931"/>
    <w:pPr>
      <w:keepNext w:val="true"/>
      <w:spacing w:lineRule="auto" w:line="240" w:before="0" w:after="0"/>
      <w:outlineLvl w:val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a3"/>
    <w:uiPriority w:val="99"/>
    <w:semiHidden/>
    <w:qFormat/>
    <w:rsid w:val="008e623c"/>
    <w:rPr>
      <w:rFonts w:ascii="Tahoma" w:hAnsi="Tahoma" w:cs="Tahoma"/>
      <w:sz w:val="16"/>
      <w:szCs w:val="16"/>
    </w:rPr>
  </w:style>
  <w:style w:type="character" w:styleId="Style14" w:customStyle="1">
    <w:name w:val="Верхний колонтитул Знак"/>
    <w:basedOn w:val="DefaultParagraphFont"/>
    <w:link w:val="a5"/>
    <w:uiPriority w:val="99"/>
    <w:qFormat/>
    <w:rsid w:val="00fe2723"/>
    <w:rPr/>
  </w:style>
  <w:style w:type="character" w:styleId="Style15" w:customStyle="1">
    <w:name w:val="Нижний колонтитул Знак"/>
    <w:basedOn w:val="DefaultParagraphFont"/>
    <w:link w:val="a7"/>
    <w:uiPriority w:val="99"/>
    <w:qFormat/>
    <w:rsid w:val="00fe2723"/>
    <w:rPr/>
  </w:style>
  <w:style w:type="character" w:styleId="PlaceholderText">
    <w:name w:val="Placeholder Text"/>
    <w:basedOn w:val="DefaultParagraphFont"/>
    <w:uiPriority w:val="99"/>
    <w:semiHidden/>
    <w:qFormat/>
    <w:rsid w:val="003c770f"/>
    <w:rPr>
      <w:color w:val="808080"/>
    </w:rPr>
  </w:style>
  <w:style w:type="character" w:styleId="Style16" w:customStyle="1">
    <w:name w:val="Колонтитул_"/>
    <w:basedOn w:val="DefaultParagraphFont"/>
    <w:link w:val="ab"/>
    <w:qFormat/>
    <w:rsid w:val="00102231"/>
    <w:rPr>
      <w:rFonts w:ascii="Times New Roman" w:hAnsi="Times New Roman" w:eastAsia="Times New Roman" w:cs="Times New Roman"/>
      <w:sz w:val="34"/>
      <w:szCs w:val="34"/>
      <w:shd w:fill="FFFFFF" w:val="clear"/>
    </w:rPr>
  </w:style>
  <w:style w:type="character" w:styleId="2" w:customStyle="1">
    <w:name w:val="Основной текст (2)_"/>
    <w:basedOn w:val="DefaultParagraphFont"/>
    <w:link w:val="20"/>
    <w:qFormat/>
    <w:rsid w:val="00102231"/>
    <w:rPr>
      <w:rFonts w:ascii="Times New Roman" w:hAnsi="Times New Roman" w:eastAsia="Times New Roman" w:cs="Times New Roman"/>
      <w:sz w:val="44"/>
      <w:szCs w:val="44"/>
      <w:shd w:fill="FFFFFF" w:val="clear"/>
    </w:rPr>
  </w:style>
  <w:style w:type="character" w:styleId="21" w:customStyle="1">
    <w:name w:val="Основной текст (2) + Курсив"/>
    <w:basedOn w:val="2"/>
    <w:qFormat/>
    <w:rsid w:val="00102231"/>
    <w:rPr>
      <w:rFonts w:ascii="Times New Roman" w:hAnsi="Times New Roman" w:eastAsia="Times New Roman" w:cs="Times New Roman"/>
      <w:i/>
      <w:iCs/>
      <w:color w:val="000000"/>
      <w:spacing w:val="0"/>
      <w:w w:val="100"/>
      <w:sz w:val="44"/>
      <w:szCs w:val="44"/>
      <w:shd w:fill="FFFFFF" w:val="clear"/>
      <w:lang w:val="en-US" w:eastAsia="en-US" w:bidi="en-US"/>
    </w:rPr>
  </w:style>
  <w:style w:type="character" w:styleId="5TimesNewRoman36pt100Exact" w:customStyle="1">
    <w:name w:val="Заголовок №5 + Times New Roman;36 pt;Не полужирный;Курсив;Масштаб 100% Exact"/>
    <w:basedOn w:val="DefaultParagraphFont"/>
    <w:qFormat/>
    <w:rsid w:val="00ba3d75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72"/>
      <w:szCs w:val="72"/>
      <w:u w:val="none"/>
      <w:lang w:val="en-US" w:eastAsia="en-US" w:bidi="en-US"/>
    </w:rPr>
  </w:style>
  <w:style w:type="character" w:styleId="11" w:customStyle="1">
    <w:name w:val="Заголовок 1 Знак"/>
    <w:basedOn w:val="DefaultParagraphFont"/>
    <w:link w:val="1"/>
    <w:qFormat/>
    <w:rsid w:val="00b84931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 Unicode M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8e623c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" w:customStyle="1">
    <w:name w:val="ConsPlusTitle"/>
    <w:qFormat/>
    <w:rsid w:val="008e623c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8e623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6"/>
    <w:uiPriority w:val="99"/>
    <w:unhideWhenUsed/>
    <w:rsid w:val="00fe272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8"/>
    <w:uiPriority w:val="99"/>
    <w:unhideWhenUsed/>
    <w:rsid w:val="00fe272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 w:customStyle="1">
    <w:name w:val="Колонтитул"/>
    <w:basedOn w:val="Normal"/>
    <w:link w:val="aa"/>
    <w:qFormat/>
    <w:rsid w:val="00102231"/>
    <w:pPr>
      <w:widowControl w:val="false"/>
      <w:shd w:val="clear" w:color="auto" w:fill="FFFFFF"/>
      <w:spacing w:lineRule="exact" w:line="376" w:before="0" w:after="0"/>
    </w:pPr>
    <w:rPr>
      <w:rFonts w:ascii="Times New Roman" w:hAnsi="Times New Roman" w:eastAsia="Times New Roman" w:cs="Times New Roman"/>
      <w:sz w:val="34"/>
      <w:szCs w:val="34"/>
    </w:rPr>
  </w:style>
  <w:style w:type="paragraph" w:styleId="22" w:customStyle="1">
    <w:name w:val="Основной текст (2)"/>
    <w:basedOn w:val="Normal"/>
    <w:link w:val="2"/>
    <w:qFormat/>
    <w:rsid w:val="00102231"/>
    <w:pPr>
      <w:widowControl w:val="false"/>
      <w:shd w:val="clear" w:color="auto" w:fill="FFFFFF"/>
      <w:spacing w:lineRule="exact" w:line="488" w:before="0" w:after="880"/>
      <w:jc w:val="center"/>
    </w:pPr>
    <w:rPr>
      <w:rFonts w:ascii="Times New Roman" w:hAnsi="Times New Roman" w:eastAsia="Times New Roman" w:cs="Times New Roman"/>
      <w:sz w:val="44"/>
      <w:szCs w:val="4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image" Target="media/image4.wmf"/><Relationship Id="rId6" Type="http://schemas.openxmlformats.org/officeDocument/2006/relationships/image" Target="media/image5.wmf"/><Relationship Id="rId7" Type="http://schemas.openxmlformats.org/officeDocument/2006/relationships/image" Target="media/image6.wmf"/><Relationship Id="rId8" Type="http://schemas.openxmlformats.org/officeDocument/2006/relationships/image" Target="media/image7.wmf"/><Relationship Id="rId9" Type="http://schemas.openxmlformats.org/officeDocument/2006/relationships/image" Target="media/image8.wmf"/><Relationship Id="rId10" Type="http://schemas.openxmlformats.org/officeDocument/2006/relationships/image" Target="media/image9.wmf"/><Relationship Id="rId11" Type="http://schemas.openxmlformats.org/officeDocument/2006/relationships/image" Target="media/image10.wmf"/><Relationship Id="rId12" Type="http://schemas.openxmlformats.org/officeDocument/2006/relationships/image" Target="media/image11.wmf"/><Relationship Id="rId13" Type="http://schemas.openxmlformats.org/officeDocument/2006/relationships/image" Target="media/image12.wmf"/><Relationship Id="rId14" Type="http://schemas.openxmlformats.org/officeDocument/2006/relationships/image" Target="media/image13.wmf"/><Relationship Id="rId15" Type="http://schemas.openxmlformats.org/officeDocument/2006/relationships/image" Target="media/image14.wmf"/><Relationship Id="rId16" Type="http://schemas.openxmlformats.org/officeDocument/2006/relationships/image" Target="media/image15.wmf"/><Relationship Id="rId17" Type="http://schemas.openxmlformats.org/officeDocument/2006/relationships/image" Target="media/image16.wmf"/><Relationship Id="rId18" Type="http://schemas.openxmlformats.org/officeDocument/2006/relationships/image" Target="media/image17.wmf"/><Relationship Id="rId19" Type="http://schemas.openxmlformats.org/officeDocument/2006/relationships/image" Target="media/image18.wmf"/><Relationship Id="rId20" Type="http://schemas.openxmlformats.org/officeDocument/2006/relationships/image" Target="media/image19.wmf"/><Relationship Id="rId21" Type="http://schemas.openxmlformats.org/officeDocument/2006/relationships/image" Target="media/image20.wmf"/><Relationship Id="rId22" Type="http://schemas.openxmlformats.org/officeDocument/2006/relationships/image" Target="media/image21.wmf"/><Relationship Id="rId23" Type="http://schemas.openxmlformats.org/officeDocument/2006/relationships/image" Target="media/image22.wmf"/><Relationship Id="rId24" Type="http://schemas.openxmlformats.org/officeDocument/2006/relationships/image" Target="media/image23.wmf"/><Relationship Id="rId25" Type="http://schemas.openxmlformats.org/officeDocument/2006/relationships/image" Target="media/image24.wmf"/><Relationship Id="rId26" Type="http://schemas.openxmlformats.org/officeDocument/2006/relationships/image" Target="media/image25.wmf"/><Relationship Id="rId27" Type="http://schemas.openxmlformats.org/officeDocument/2006/relationships/image" Target="media/image26.wmf"/><Relationship Id="rId28" Type="http://schemas.openxmlformats.org/officeDocument/2006/relationships/image" Target="media/image27.wmf"/><Relationship Id="rId29" Type="http://schemas.openxmlformats.org/officeDocument/2006/relationships/footer" Target="footer1.xml"/><Relationship Id="rId30" Type="http://schemas.openxmlformats.org/officeDocument/2006/relationships/fontTable" Target="fontTable.xml"/><Relationship Id="rId31" Type="http://schemas.openxmlformats.org/officeDocument/2006/relationships/settings" Target="settings.xml"/><Relationship Id="rId3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Application>LibreOffice/7.0.1.2$Windows_X86_64 LibreOffice_project/7cbcfc562f6eb6708b5ff7d7397325de9e764452</Application>
  <Pages>11</Pages>
  <Words>3431</Words>
  <Characters>26437</Characters>
  <CharactersWithSpaces>29695</CharactersWithSpaces>
  <Paragraphs>226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2020-10-13T08:15:00Z</dcterms:created>
  <dc:creator>User</dc:creator>
  <dc:description/>
  <dc:language>ru-RU</dc:language>
  <cp:lastModifiedBy>User</cp:lastModifiedBy>
  <cp:lastPrinted>2021-03-22T16:50:00Z</cp:lastPrinted>
  <dcterms:modified xsi:type="dcterms:W3CDTF">2021-10-19T08:24:00Z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